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82" w:rsidRPr="006730E3" w:rsidRDefault="00D8611E" w:rsidP="00416B3A">
      <w:pPr>
        <w:spacing w:line="312" w:lineRule="auto"/>
        <w:jc w:val="center"/>
        <w:rPr>
          <w:rFonts w:ascii="Calibri" w:hAnsi="Calibri" w:cs="Times New Roman"/>
          <w:b/>
          <w:sz w:val="24"/>
          <w:szCs w:val="24"/>
        </w:rPr>
      </w:pPr>
      <w:r w:rsidRPr="006730E3">
        <w:rPr>
          <w:rFonts w:ascii="Calibri" w:hAnsi="Calibri" w:cs="Times New Roman"/>
          <w:b/>
          <w:sz w:val="24"/>
          <w:szCs w:val="24"/>
        </w:rPr>
        <w:t xml:space="preserve">AUTONOMÍA DE LA VOLUNTAD </w:t>
      </w:r>
      <w:r w:rsidR="0046261D" w:rsidRPr="006730E3">
        <w:rPr>
          <w:rFonts w:ascii="Calibri" w:hAnsi="Calibri" w:cs="Times New Roman"/>
          <w:b/>
          <w:sz w:val="24"/>
          <w:szCs w:val="24"/>
        </w:rPr>
        <w:t xml:space="preserve">Y RÉGIMEN ECONÓMICO </w:t>
      </w:r>
      <w:r w:rsidRPr="006730E3">
        <w:rPr>
          <w:rFonts w:ascii="Calibri" w:hAnsi="Calibri" w:cs="Times New Roman"/>
          <w:b/>
          <w:sz w:val="24"/>
          <w:szCs w:val="24"/>
        </w:rPr>
        <w:t>DE LA</w:t>
      </w:r>
      <w:r w:rsidR="00EB0582">
        <w:rPr>
          <w:rFonts w:ascii="Calibri" w:hAnsi="Calibri" w:cs="Times New Roman"/>
          <w:b/>
          <w:sz w:val="24"/>
          <w:szCs w:val="24"/>
        </w:rPr>
        <w:t>S</w:t>
      </w:r>
      <w:r w:rsidRPr="006730E3">
        <w:rPr>
          <w:rFonts w:ascii="Calibri" w:hAnsi="Calibri" w:cs="Times New Roman"/>
          <w:b/>
          <w:sz w:val="24"/>
          <w:szCs w:val="24"/>
        </w:rPr>
        <w:t xml:space="preserve"> PAREJA</w:t>
      </w:r>
      <w:r w:rsidR="00EB0582">
        <w:rPr>
          <w:rFonts w:ascii="Calibri" w:hAnsi="Calibri" w:cs="Times New Roman"/>
          <w:b/>
          <w:sz w:val="24"/>
          <w:szCs w:val="24"/>
        </w:rPr>
        <w:t>S</w:t>
      </w:r>
      <w:r w:rsidR="00C21CFB" w:rsidRPr="006730E3">
        <w:rPr>
          <w:rFonts w:ascii="Calibri" w:hAnsi="Calibri" w:cs="Times New Roman"/>
          <w:b/>
          <w:sz w:val="24"/>
          <w:szCs w:val="24"/>
        </w:rPr>
        <w:t xml:space="preserve"> «DE HECHO»</w:t>
      </w:r>
      <w:r w:rsidR="00694294" w:rsidRPr="006730E3">
        <w:rPr>
          <w:rFonts w:ascii="Calibri" w:hAnsi="Calibri" w:cs="Times New Roman"/>
          <w:b/>
          <w:sz w:val="24"/>
          <w:szCs w:val="24"/>
        </w:rPr>
        <w:t xml:space="preserve"> </w:t>
      </w:r>
      <w:r w:rsidR="005F2058" w:rsidRPr="006730E3">
        <w:rPr>
          <w:rFonts w:ascii="Calibri" w:hAnsi="Calibri" w:cs="Times New Roman"/>
          <w:b/>
          <w:sz w:val="24"/>
          <w:szCs w:val="24"/>
        </w:rPr>
        <w:t xml:space="preserve">EN </w:t>
      </w:r>
      <w:r w:rsidR="0046261D" w:rsidRPr="006730E3">
        <w:rPr>
          <w:rFonts w:ascii="Calibri" w:hAnsi="Calibri" w:cs="Times New Roman"/>
          <w:b/>
          <w:sz w:val="24"/>
          <w:szCs w:val="24"/>
        </w:rPr>
        <w:t>LA LEY DE DERECHO CIVIL DE GALICIA</w:t>
      </w:r>
      <w:r w:rsidR="00F15326" w:rsidRPr="006730E3">
        <w:rPr>
          <w:rStyle w:val="Refdenotaalpie"/>
          <w:rFonts w:ascii="Calibri" w:hAnsi="Calibri" w:cs="Times New Roman"/>
          <w:sz w:val="24"/>
          <w:szCs w:val="24"/>
        </w:rPr>
        <w:footnoteReference w:customMarkFollows="1" w:id="1"/>
        <w:t>*</w:t>
      </w:r>
    </w:p>
    <w:p w:rsidR="00C21CFB" w:rsidRPr="00070B53" w:rsidRDefault="00083300" w:rsidP="00416B3A">
      <w:pPr>
        <w:spacing w:line="312" w:lineRule="auto"/>
        <w:jc w:val="center"/>
        <w:rPr>
          <w:rFonts w:ascii="Calibri" w:hAnsi="Calibri" w:cs="Times New Roman"/>
          <w:i/>
          <w:sz w:val="24"/>
          <w:szCs w:val="24"/>
        </w:rPr>
      </w:pPr>
      <w:r>
        <w:rPr>
          <w:rFonts w:ascii="Calibri" w:hAnsi="Calibri" w:cs="Times New Roman"/>
          <w:i/>
          <w:sz w:val="24"/>
          <w:szCs w:val="24"/>
        </w:rPr>
        <w:t>Autor</w:t>
      </w:r>
    </w:p>
    <w:p w:rsidR="00D74946" w:rsidRPr="006730E3" w:rsidRDefault="00C21CFB" w:rsidP="00416B3A">
      <w:pPr>
        <w:spacing w:line="312" w:lineRule="auto"/>
        <w:jc w:val="center"/>
        <w:rPr>
          <w:rFonts w:ascii="Calibri" w:hAnsi="Calibri" w:cs="Times New Roman"/>
          <w:sz w:val="24"/>
          <w:szCs w:val="24"/>
        </w:rPr>
      </w:pPr>
      <w:r w:rsidRPr="006730E3">
        <w:rPr>
          <w:rFonts w:ascii="Calibri" w:hAnsi="Calibri" w:cs="Times New Roman"/>
          <w:sz w:val="24"/>
          <w:szCs w:val="24"/>
        </w:rPr>
        <w:t>Doctorando de Derecho civil</w:t>
      </w:r>
    </w:p>
    <w:p w:rsidR="00C21CFB" w:rsidRPr="00BA155D" w:rsidRDefault="00C21CFB" w:rsidP="00416B3A">
      <w:pPr>
        <w:pBdr>
          <w:bottom w:val="single" w:sz="6" w:space="1" w:color="auto"/>
        </w:pBdr>
        <w:spacing w:line="312" w:lineRule="auto"/>
        <w:jc w:val="center"/>
        <w:rPr>
          <w:rFonts w:ascii="Calibri" w:hAnsi="Calibri" w:cs="Times New Roman"/>
          <w:sz w:val="24"/>
          <w:szCs w:val="24"/>
        </w:rPr>
      </w:pPr>
      <w:proofErr w:type="spellStart"/>
      <w:r w:rsidRPr="00BA155D">
        <w:rPr>
          <w:rFonts w:ascii="Calibri" w:hAnsi="Calibri" w:cs="Times New Roman"/>
          <w:sz w:val="24"/>
          <w:szCs w:val="24"/>
        </w:rPr>
        <w:t>Universidade</w:t>
      </w:r>
      <w:proofErr w:type="spellEnd"/>
      <w:r w:rsidRPr="00BA155D">
        <w:rPr>
          <w:rFonts w:ascii="Calibri" w:hAnsi="Calibri" w:cs="Times New Roman"/>
          <w:sz w:val="24"/>
          <w:szCs w:val="24"/>
        </w:rPr>
        <w:t xml:space="preserve"> de Santiago de Compostela</w:t>
      </w:r>
    </w:p>
    <w:p w:rsidR="006730E3" w:rsidRPr="00BA155D" w:rsidRDefault="006730E3" w:rsidP="00416B3A">
      <w:pPr>
        <w:pBdr>
          <w:bottom w:val="single" w:sz="6" w:space="1" w:color="auto"/>
        </w:pBdr>
        <w:spacing w:line="312" w:lineRule="auto"/>
        <w:jc w:val="center"/>
        <w:rPr>
          <w:rFonts w:ascii="Calibri" w:hAnsi="Calibri" w:cs="Times New Roman"/>
          <w:sz w:val="24"/>
          <w:szCs w:val="24"/>
        </w:rPr>
      </w:pPr>
    </w:p>
    <w:p w:rsidR="006730E3" w:rsidRPr="00A60C88" w:rsidRDefault="006730E3" w:rsidP="00416B3A">
      <w:pPr>
        <w:spacing w:line="312" w:lineRule="auto"/>
        <w:jc w:val="both"/>
        <w:rPr>
          <w:rFonts w:ascii="Calibri" w:hAnsi="Calibri" w:cs="Times New Roman"/>
          <w:sz w:val="24"/>
          <w:szCs w:val="24"/>
          <w:lang w:val="en-GB"/>
        </w:rPr>
      </w:pPr>
      <w:r w:rsidRPr="00EB0582">
        <w:rPr>
          <w:rFonts w:ascii="Calibri" w:hAnsi="Calibri" w:cs="Times New Roman"/>
          <w:smallCaps/>
          <w:sz w:val="24"/>
          <w:szCs w:val="24"/>
          <w:lang w:val="en-GB"/>
        </w:rPr>
        <w:t>Title</w:t>
      </w:r>
      <w:r w:rsidRPr="00A60C88">
        <w:rPr>
          <w:rFonts w:ascii="Calibri" w:hAnsi="Calibri" w:cs="Times New Roman"/>
          <w:sz w:val="24"/>
          <w:szCs w:val="24"/>
          <w:lang w:val="en-GB"/>
        </w:rPr>
        <w:t xml:space="preserve">: </w:t>
      </w:r>
      <w:r w:rsidR="00A60C88" w:rsidRPr="00A60C88">
        <w:rPr>
          <w:rFonts w:ascii="Calibri" w:hAnsi="Calibri" w:cs="Times New Roman"/>
          <w:i/>
          <w:sz w:val="24"/>
          <w:szCs w:val="24"/>
          <w:lang w:val="en-GB"/>
        </w:rPr>
        <w:t>Party autonomy and</w:t>
      </w:r>
      <w:r w:rsidR="00A60C88" w:rsidRPr="00A60C88">
        <w:rPr>
          <w:rFonts w:ascii="Calibri" w:hAnsi="Calibri" w:cs="Times New Roman"/>
          <w:sz w:val="24"/>
          <w:szCs w:val="24"/>
          <w:lang w:val="en-GB"/>
        </w:rPr>
        <w:t xml:space="preserve"> </w:t>
      </w:r>
      <w:r w:rsidR="00A60C88">
        <w:rPr>
          <w:rFonts w:ascii="Calibri" w:hAnsi="Calibri" w:cs="Times New Roman"/>
          <w:i/>
          <w:sz w:val="24"/>
          <w:szCs w:val="24"/>
          <w:lang w:val="en-GB"/>
        </w:rPr>
        <w:t>property regime of registered partnerships in Galician Civil Law.</w:t>
      </w:r>
    </w:p>
    <w:p w:rsidR="00E27544" w:rsidRDefault="006730E3" w:rsidP="00416B3A">
      <w:pPr>
        <w:spacing w:line="312" w:lineRule="auto"/>
        <w:jc w:val="both"/>
        <w:rPr>
          <w:rFonts w:ascii="Calibri" w:hAnsi="Calibri" w:cs="Times New Roman"/>
          <w:sz w:val="24"/>
          <w:szCs w:val="24"/>
        </w:rPr>
      </w:pPr>
      <w:r w:rsidRPr="00EB0582">
        <w:rPr>
          <w:rFonts w:ascii="Calibri" w:hAnsi="Calibri" w:cs="Times New Roman"/>
          <w:smallCaps/>
          <w:sz w:val="24"/>
          <w:szCs w:val="24"/>
        </w:rPr>
        <w:t>Resumen</w:t>
      </w:r>
      <w:r w:rsidRPr="006730E3">
        <w:rPr>
          <w:rFonts w:ascii="Calibri" w:hAnsi="Calibri" w:cs="Times New Roman"/>
          <w:sz w:val="24"/>
          <w:szCs w:val="24"/>
        </w:rPr>
        <w:t xml:space="preserve">: </w:t>
      </w:r>
      <w:r w:rsidR="00DF62D5">
        <w:rPr>
          <w:rFonts w:ascii="Calibri" w:hAnsi="Calibri" w:cs="Times New Roman"/>
          <w:sz w:val="24"/>
          <w:szCs w:val="24"/>
        </w:rPr>
        <w:t>El presente trabajo analiza</w:t>
      </w:r>
      <w:r w:rsidR="005849DD">
        <w:rPr>
          <w:rFonts w:ascii="Calibri" w:hAnsi="Calibri" w:cs="Times New Roman"/>
          <w:sz w:val="24"/>
          <w:szCs w:val="24"/>
        </w:rPr>
        <w:t xml:space="preserve"> </w:t>
      </w:r>
      <w:r w:rsidR="00E34FA2">
        <w:rPr>
          <w:rFonts w:ascii="Calibri" w:hAnsi="Calibri" w:cs="Times New Roman"/>
          <w:sz w:val="24"/>
          <w:szCs w:val="24"/>
        </w:rPr>
        <w:t xml:space="preserve">si el régimen económico que la </w:t>
      </w:r>
      <w:r w:rsidR="00E34FA2" w:rsidRPr="006730E3">
        <w:rPr>
          <w:rFonts w:ascii="Calibri" w:hAnsi="Calibri" w:cs="Times New Roman"/>
          <w:sz w:val="24"/>
          <w:szCs w:val="24"/>
        </w:rPr>
        <w:t>Ley 2/2006, de 14 de junio, de Derecho civil de Galicia</w:t>
      </w:r>
      <w:r w:rsidR="00070B53">
        <w:rPr>
          <w:rFonts w:ascii="Calibri" w:hAnsi="Calibri" w:cs="Times New Roman"/>
          <w:sz w:val="24"/>
          <w:szCs w:val="24"/>
        </w:rPr>
        <w:t xml:space="preserve"> establece</w:t>
      </w:r>
      <w:r w:rsidR="00AD0331">
        <w:rPr>
          <w:rFonts w:ascii="Calibri" w:hAnsi="Calibri" w:cs="Times New Roman"/>
          <w:sz w:val="24"/>
          <w:szCs w:val="24"/>
        </w:rPr>
        <w:t xml:space="preserve"> en defecto de pacto</w:t>
      </w:r>
      <w:r w:rsidR="00070B53">
        <w:rPr>
          <w:rFonts w:ascii="Calibri" w:hAnsi="Calibri" w:cs="Times New Roman"/>
          <w:sz w:val="24"/>
          <w:szCs w:val="24"/>
        </w:rPr>
        <w:t xml:space="preserve"> para la</w:t>
      </w:r>
      <w:r w:rsidR="00E34FA2">
        <w:rPr>
          <w:rFonts w:ascii="Calibri" w:hAnsi="Calibri" w:cs="Times New Roman"/>
          <w:sz w:val="24"/>
          <w:szCs w:val="24"/>
        </w:rPr>
        <w:t xml:space="preserve"> p</w:t>
      </w:r>
      <w:r w:rsidR="00070B53">
        <w:rPr>
          <w:rFonts w:ascii="Calibri" w:hAnsi="Calibri" w:cs="Times New Roman"/>
          <w:sz w:val="24"/>
          <w:szCs w:val="24"/>
        </w:rPr>
        <w:t xml:space="preserve">areja no casada e inscrita en el Registro de parejas de hecho de Galicia es respetuoso con la autonomía de la voluntad de dicha pareja para regir sus relaciones patrimoniales como considere oportuno. </w:t>
      </w:r>
      <w:r w:rsidR="005849DD">
        <w:rPr>
          <w:rFonts w:ascii="Calibri" w:hAnsi="Calibri" w:cs="Times New Roman"/>
          <w:sz w:val="24"/>
          <w:szCs w:val="24"/>
        </w:rPr>
        <w:t>Además</w:t>
      </w:r>
      <w:r w:rsidR="00070B53">
        <w:rPr>
          <w:rFonts w:ascii="Calibri" w:hAnsi="Calibri" w:cs="Times New Roman"/>
          <w:sz w:val="24"/>
          <w:szCs w:val="24"/>
        </w:rPr>
        <w:t>, se estudia si el régimen econ</w:t>
      </w:r>
      <w:r w:rsidR="00E27544">
        <w:rPr>
          <w:rFonts w:ascii="Calibri" w:hAnsi="Calibri" w:cs="Times New Roman"/>
          <w:sz w:val="24"/>
          <w:szCs w:val="24"/>
        </w:rPr>
        <w:t xml:space="preserve">ómico legal se aplica </w:t>
      </w:r>
      <w:r w:rsidR="002E1F1D">
        <w:rPr>
          <w:rFonts w:ascii="Calibri" w:hAnsi="Calibri" w:cs="Times New Roman"/>
          <w:sz w:val="24"/>
          <w:szCs w:val="24"/>
        </w:rPr>
        <w:t xml:space="preserve">en la práctica </w:t>
      </w:r>
      <w:r w:rsidR="00E27544">
        <w:rPr>
          <w:rFonts w:ascii="Calibri" w:hAnsi="Calibri" w:cs="Times New Roman"/>
          <w:sz w:val="24"/>
          <w:szCs w:val="24"/>
        </w:rPr>
        <w:t>con todas sus consecuencias</w:t>
      </w:r>
      <w:r w:rsidR="000168C6">
        <w:rPr>
          <w:rFonts w:ascii="Calibri" w:hAnsi="Calibri" w:cs="Times New Roman"/>
          <w:sz w:val="24"/>
          <w:szCs w:val="24"/>
        </w:rPr>
        <w:t xml:space="preserve"> de forma que la libertad de la pareja quede plenamente satisfecha.</w:t>
      </w:r>
    </w:p>
    <w:p w:rsidR="006730E3" w:rsidRPr="000168C6" w:rsidRDefault="006730E3" w:rsidP="00416B3A">
      <w:pPr>
        <w:spacing w:line="312" w:lineRule="auto"/>
        <w:jc w:val="both"/>
        <w:rPr>
          <w:rFonts w:ascii="Calibri" w:hAnsi="Calibri" w:cs="Times New Roman"/>
          <w:sz w:val="24"/>
          <w:szCs w:val="24"/>
          <w:lang w:val="en-GB"/>
        </w:rPr>
      </w:pPr>
      <w:r w:rsidRPr="00EB0582">
        <w:rPr>
          <w:rFonts w:ascii="Calibri" w:hAnsi="Calibri" w:cs="Times New Roman"/>
          <w:smallCaps/>
          <w:sz w:val="24"/>
          <w:szCs w:val="24"/>
          <w:lang w:val="en-GB"/>
        </w:rPr>
        <w:t>Abstract</w:t>
      </w:r>
      <w:r w:rsidRPr="000168C6">
        <w:rPr>
          <w:rFonts w:ascii="Calibri" w:hAnsi="Calibri" w:cs="Times New Roman"/>
          <w:sz w:val="24"/>
          <w:szCs w:val="24"/>
          <w:lang w:val="en-GB"/>
        </w:rPr>
        <w:t xml:space="preserve">: </w:t>
      </w:r>
      <w:r w:rsidR="000168C6" w:rsidRPr="000168C6">
        <w:rPr>
          <w:rFonts w:ascii="Calibri" w:hAnsi="Calibri" w:cs="Times New Roman"/>
          <w:i/>
          <w:sz w:val="24"/>
          <w:szCs w:val="24"/>
          <w:lang w:val="en-GB"/>
        </w:rPr>
        <w:t xml:space="preserve">This paper analyses </w:t>
      </w:r>
      <w:r w:rsidR="00B53681">
        <w:rPr>
          <w:rFonts w:ascii="Calibri" w:hAnsi="Calibri" w:cs="Times New Roman"/>
          <w:i/>
          <w:sz w:val="24"/>
          <w:szCs w:val="24"/>
          <w:lang w:val="en-GB"/>
        </w:rPr>
        <w:t>whether</w:t>
      </w:r>
      <w:r w:rsidR="000168C6" w:rsidRPr="000168C6">
        <w:rPr>
          <w:rFonts w:ascii="Calibri" w:hAnsi="Calibri" w:cs="Times New Roman"/>
          <w:i/>
          <w:sz w:val="24"/>
          <w:szCs w:val="24"/>
          <w:lang w:val="en-GB"/>
        </w:rPr>
        <w:t xml:space="preserve"> the</w:t>
      </w:r>
      <w:r w:rsidR="000168C6">
        <w:rPr>
          <w:rFonts w:ascii="Calibri" w:hAnsi="Calibri" w:cs="Times New Roman"/>
          <w:i/>
          <w:sz w:val="24"/>
          <w:szCs w:val="24"/>
          <w:lang w:val="en-GB"/>
        </w:rPr>
        <w:t xml:space="preserve"> property </w:t>
      </w:r>
      <w:r w:rsidR="00B53681">
        <w:rPr>
          <w:rFonts w:ascii="Calibri" w:hAnsi="Calibri" w:cs="Times New Roman"/>
          <w:i/>
          <w:sz w:val="24"/>
          <w:szCs w:val="24"/>
          <w:lang w:val="en-GB"/>
        </w:rPr>
        <w:t>regime</w:t>
      </w:r>
      <w:r w:rsidR="000168C6">
        <w:rPr>
          <w:rFonts w:ascii="Calibri" w:hAnsi="Calibri" w:cs="Times New Roman"/>
          <w:i/>
          <w:sz w:val="24"/>
          <w:szCs w:val="24"/>
          <w:lang w:val="en-GB"/>
        </w:rPr>
        <w:t xml:space="preserve"> that the Galician Civil Law </w:t>
      </w:r>
      <w:r w:rsidR="00DA264F">
        <w:rPr>
          <w:rFonts w:ascii="Calibri" w:hAnsi="Calibri" w:cs="Times New Roman"/>
          <w:i/>
          <w:sz w:val="24"/>
          <w:szCs w:val="24"/>
          <w:lang w:val="en-GB"/>
        </w:rPr>
        <w:t>establishes</w:t>
      </w:r>
      <w:r w:rsidR="00AD0331">
        <w:rPr>
          <w:rFonts w:ascii="Calibri" w:hAnsi="Calibri" w:cs="Times New Roman"/>
          <w:i/>
          <w:sz w:val="24"/>
          <w:szCs w:val="24"/>
          <w:lang w:val="en-GB"/>
        </w:rPr>
        <w:t xml:space="preserve"> in absence of choice</w:t>
      </w:r>
      <w:r w:rsidR="00DA264F">
        <w:rPr>
          <w:rFonts w:ascii="Calibri" w:hAnsi="Calibri" w:cs="Times New Roman"/>
          <w:i/>
          <w:sz w:val="24"/>
          <w:szCs w:val="24"/>
          <w:lang w:val="en-GB"/>
        </w:rPr>
        <w:t xml:space="preserve"> for registered </w:t>
      </w:r>
      <w:r w:rsidR="00B53681">
        <w:rPr>
          <w:rFonts w:ascii="Calibri" w:hAnsi="Calibri" w:cs="Times New Roman"/>
          <w:i/>
          <w:sz w:val="24"/>
          <w:szCs w:val="24"/>
          <w:lang w:val="en-GB"/>
        </w:rPr>
        <w:t>partnerships</w:t>
      </w:r>
      <w:r w:rsidR="00DA264F">
        <w:rPr>
          <w:rFonts w:ascii="Calibri" w:hAnsi="Calibri" w:cs="Times New Roman"/>
          <w:i/>
          <w:sz w:val="24"/>
          <w:szCs w:val="24"/>
          <w:lang w:val="en-GB"/>
        </w:rPr>
        <w:t xml:space="preserve"> respect</w:t>
      </w:r>
      <w:r w:rsidR="00A60C88">
        <w:rPr>
          <w:rFonts w:ascii="Calibri" w:hAnsi="Calibri" w:cs="Times New Roman"/>
          <w:i/>
          <w:sz w:val="24"/>
          <w:szCs w:val="24"/>
          <w:lang w:val="en-GB"/>
        </w:rPr>
        <w:t xml:space="preserve"> or not</w:t>
      </w:r>
      <w:r w:rsidR="00DA264F">
        <w:rPr>
          <w:rFonts w:ascii="Calibri" w:hAnsi="Calibri" w:cs="Times New Roman"/>
          <w:i/>
          <w:sz w:val="24"/>
          <w:szCs w:val="24"/>
          <w:lang w:val="en-GB"/>
        </w:rPr>
        <w:t xml:space="preserve"> </w:t>
      </w:r>
      <w:r w:rsidR="00B53681">
        <w:rPr>
          <w:rFonts w:ascii="Calibri" w:hAnsi="Calibri" w:cs="Times New Roman"/>
          <w:i/>
          <w:sz w:val="24"/>
          <w:szCs w:val="24"/>
          <w:lang w:val="en-GB"/>
        </w:rPr>
        <w:t>their a</w:t>
      </w:r>
      <w:bookmarkStart w:id="0" w:name="_GoBack"/>
      <w:bookmarkEnd w:id="0"/>
      <w:r w:rsidR="00B53681">
        <w:rPr>
          <w:rFonts w:ascii="Calibri" w:hAnsi="Calibri" w:cs="Times New Roman"/>
          <w:i/>
          <w:sz w:val="24"/>
          <w:szCs w:val="24"/>
          <w:lang w:val="en-GB"/>
        </w:rPr>
        <w:t xml:space="preserve">utonomy to decide freely which </w:t>
      </w:r>
      <w:proofErr w:type="gramStart"/>
      <w:r w:rsidR="00B53681">
        <w:rPr>
          <w:rFonts w:ascii="Calibri" w:hAnsi="Calibri" w:cs="Times New Roman"/>
          <w:i/>
          <w:sz w:val="24"/>
          <w:szCs w:val="24"/>
          <w:lang w:val="en-GB"/>
        </w:rPr>
        <w:t>are the property consequences of their relationship</w:t>
      </w:r>
      <w:proofErr w:type="gramEnd"/>
      <w:r w:rsidR="00B53681">
        <w:rPr>
          <w:rFonts w:ascii="Calibri" w:hAnsi="Calibri" w:cs="Times New Roman"/>
          <w:i/>
          <w:sz w:val="24"/>
          <w:szCs w:val="24"/>
          <w:lang w:val="en-GB"/>
        </w:rPr>
        <w:t xml:space="preserve">. Moreover, this </w:t>
      </w:r>
      <w:r w:rsidR="00EB0582">
        <w:rPr>
          <w:rFonts w:ascii="Calibri" w:hAnsi="Calibri" w:cs="Times New Roman"/>
          <w:i/>
          <w:sz w:val="24"/>
          <w:szCs w:val="24"/>
          <w:lang w:val="en-GB"/>
        </w:rPr>
        <w:t>article</w:t>
      </w:r>
      <w:r w:rsidR="00B53681">
        <w:rPr>
          <w:rFonts w:ascii="Calibri" w:hAnsi="Calibri" w:cs="Times New Roman"/>
          <w:i/>
          <w:sz w:val="24"/>
          <w:szCs w:val="24"/>
          <w:lang w:val="en-GB"/>
        </w:rPr>
        <w:t xml:space="preserve"> assesses whet</w:t>
      </w:r>
      <w:r w:rsidR="00A60C88">
        <w:rPr>
          <w:rFonts w:ascii="Calibri" w:hAnsi="Calibri" w:cs="Times New Roman"/>
          <w:i/>
          <w:sz w:val="24"/>
          <w:szCs w:val="24"/>
          <w:lang w:val="en-GB"/>
        </w:rPr>
        <w:t>h</w:t>
      </w:r>
      <w:r w:rsidR="00B53681">
        <w:rPr>
          <w:rFonts w:ascii="Calibri" w:hAnsi="Calibri" w:cs="Times New Roman"/>
          <w:i/>
          <w:sz w:val="24"/>
          <w:szCs w:val="24"/>
          <w:lang w:val="en-GB"/>
        </w:rPr>
        <w:t>er</w:t>
      </w:r>
      <w:r w:rsidR="00A60C88">
        <w:rPr>
          <w:rFonts w:ascii="Calibri" w:hAnsi="Calibri" w:cs="Times New Roman"/>
          <w:i/>
          <w:sz w:val="24"/>
          <w:szCs w:val="24"/>
          <w:lang w:val="en-GB"/>
        </w:rPr>
        <w:t xml:space="preserve"> the aforementioned legal property regime is applied</w:t>
      </w:r>
      <w:r w:rsidR="002E1F1D">
        <w:rPr>
          <w:rFonts w:ascii="Calibri" w:hAnsi="Calibri" w:cs="Times New Roman"/>
          <w:i/>
          <w:sz w:val="24"/>
          <w:szCs w:val="24"/>
          <w:lang w:val="en-GB"/>
        </w:rPr>
        <w:t xml:space="preserve"> or not</w:t>
      </w:r>
      <w:r w:rsidR="00A60C88">
        <w:rPr>
          <w:rFonts w:ascii="Calibri" w:hAnsi="Calibri" w:cs="Times New Roman"/>
          <w:i/>
          <w:sz w:val="24"/>
          <w:szCs w:val="24"/>
          <w:lang w:val="en-GB"/>
        </w:rPr>
        <w:t xml:space="preserve"> with all its consequences </w:t>
      </w:r>
      <w:r w:rsidR="00EB0582">
        <w:rPr>
          <w:rFonts w:ascii="Calibri" w:hAnsi="Calibri" w:cs="Times New Roman"/>
          <w:i/>
          <w:sz w:val="24"/>
          <w:szCs w:val="24"/>
          <w:lang w:val="en-GB"/>
        </w:rPr>
        <w:t xml:space="preserve">in practice </w:t>
      </w:r>
      <w:r w:rsidR="00A60C88">
        <w:rPr>
          <w:rFonts w:ascii="Calibri" w:hAnsi="Calibri" w:cs="Times New Roman"/>
          <w:i/>
          <w:sz w:val="24"/>
          <w:szCs w:val="24"/>
          <w:lang w:val="en-GB"/>
        </w:rPr>
        <w:t xml:space="preserve">in order to assure that </w:t>
      </w:r>
      <w:r w:rsidR="002E1F1D">
        <w:rPr>
          <w:rFonts w:ascii="Calibri" w:hAnsi="Calibri" w:cs="Times New Roman"/>
          <w:i/>
          <w:sz w:val="24"/>
          <w:szCs w:val="24"/>
          <w:lang w:val="en-GB"/>
        </w:rPr>
        <w:t xml:space="preserve">unmarried couples´ autonomy </w:t>
      </w:r>
      <w:r w:rsidR="00A60C88">
        <w:rPr>
          <w:rFonts w:ascii="Calibri" w:hAnsi="Calibri" w:cs="Times New Roman"/>
          <w:i/>
          <w:sz w:val="24"/>
          <w:szCs w:val="24"/>
          <w:lang w:val="en-GB"/>
        </w:rPr>
        <w:t>is fully satisfied.</w:t>
      </w:r>
    </w:p>
    <w:p w:rsidR="006730E3" w:rsidRPr="00EB0582" w:rsidRDefault="00EB0582" w:rsidP="00416B3A">
      <w:pPr>
        <w:spacing w:line="312" w:lineRule="auto"/>
        <w:jc w:val="both"/>
        <w:rPr>
          <w:rFonts w:ascii="Calibri" w:hAnsi="Calibri" w:cs="Times New Roman"/>
          <w:sz w:val="24"/>
          <w:szCs w:val="24"/>
        </w:rPr>
      </w:pPr>
      <w:r w:rsidRPr="00EB0582">
        <w:rPr>
          <w:rFonts w:ascii="Calibri" w:hAnsi="Calibri" w:cs="Times New Roman"/>
          <w:smallCaps/>
          <w:sz w:val="24"/>
          <w:szCs w:val="24"/>
        </w:rPr>
        <w:t>Palabras clave</w:t>
      </w:r>
      <w:r w:rsidRPr="00EB0582">
        <w:rPr>
          <w:rFonts w:ascii="Calibri" w:hAnsi="Calibri" w:cs="Times New Roman"/>
          <w:sz w:val="24"/>
          <w:szCs w:val="24"/>
        </w:rPr>
        <w:t>: autonomía de la voluntad, pareja</w:t>
      </w:r>
      <w:r>
        <w:rPr>
          <w:rFonts w:ascii="Calibri" w:hAnsi="Calibri" w:cs="Times New Roman"/>
          <w:sz w:val="24"/>
          <w:szCs w:val="24"/>
        </w:rPr>
        <w:t>s</w:t>
      </w:r>
      <w:r w:rsidRPr="00EB0582">
        <w:rPr>
          <w:rFonts w:ascii="Calibri" w:hAnsi="Calibri" w:cs="Times New Roman"/>
          <w:sz w:val="24"/>
          <w:szCs w:val="24"/>
        </w:rPr>
        <w:t xml:space="preserve"> de hecho, pareja</w:t>
      </w:r>
      <w:r>
        <w:rPr>
          <w:rFonts w:ascii="Calibri" w:hAnsi="Calibri" w:cs="Times New Roman"/>
          <w:sz w:val="24"/>
          <w:szCs w:val="24"/>
        </w:rPr>
        <w:t>s</w:t>
      </w:r>
      <w:r w:rsidRPr="00EB0582">
        <w:rPr>
          <w:rFonts w:ascii="Calibri" w:hAnsi="Calibri" w:cs="Times New Roman"/>
          <w:sz w:val="24"/>
          <w:szCs w:val="24"/>
        </w:rPr>
        <w:t xml:space="preserve"> no casada</w:t>
      </w:r>
      <w:r>
        <w:rPr>
          <w:rFonts w:ascii="Calibri" w:hAnsi="Calibri" w:cs="Times New Roman"/>
          <w:sz w:val="24"/>
          <w:szCs w:val="24"/>
        </w:rPr>
        <w:t>s, registro, régimen económico, relaciones patrimoniales</w:t>
      </w:r>
      <w:r w:rsidR="005849DD">
        <w:rPr>
          <w:rFonts w:ascii="Calibri" w:hAnsi="Calibri" w:cs="Times New Roman"/>
          <w:sz w:val="24"/>
          <w:szCs w:val="24"/>
        </w:rPr>
        <w:t>.</w:t>
      </w:r>
    </w:p>
    <w:p w:rsidR="006730E3" w:rsidRPr="00EB0582" w:rsidRDefault="006730E3" w:rsidP="00416B3A">
      <w:pPr>
        <w:spacing w:line="312" w:lineRule="auto"/>
        <w:jc w:val="both"/>
        <w:rPr>
          <w:rFonts w:ascii="Calibri" w:hAnsi="Calibri" w:cs="Times New Roman"/>
          <w:sz w:val="24"/>
          <w:szCs w:val="24"/>
          <w:lang w:val="en-GB"/>
        </w:rPr>
      </w:pPr>
      <w:r w:rsidRPr="00EB0582">
        <w:rPr>
          <w:rFonts w:ascii="Calibri" w:hAnsi="Calibri" w:cs="Times New Roman"/>
          <w:smallCaps/>
          <w:sz w:val="24"/>
          <w:szCs w:val="24"/>
          <w:lang w:val="en-GB"/>
        </w:rPr>
        <w:t>Key words</w:t>
      </w:r>
      <w:r w:rsidRPr="00EB0582">
        <w:rPr>
          <w:rFonts w:ascii="Calibri" w:hAnsi="Calibri" w:cs="Times New Roman"/>
          <w:sz w:val="24"/>
          <w:szCs w:val="24"/>
          <w:lang w:val="en-GB"/>
        </w:rPr>
        <w:t>:</w:t>
      </w:r>
      <w:r w:rsidR="00EB0582" w:rsidRPr="00EB0582">
        <w:rPr>
          <w:rFonts w:ascii="Calibri" w:hAnsi="Calibri" w:cs="Times New Roman"/>
          <w:sz w:val="24"/>
          <w:szCs w:val="24"/>
          <w:lang w:val="en-GB"/>
        </w:rPr>
        <w:t xml:space="preserve"> </w:t>
      </w:r>
      <w:r w:rsidR="00EB0582" w:rsidRPr="00EB0582">
        <w:rPr>
          <w:rFonts w:ascii="Calibri" w:hAnsi="Calibri" w:cs="Times New Roman"/>
          <w:i/>
          <w:sz w:val="24"/>
          <w:szCs w:val="24"/>
          <w:lang w:val="en-GB"/>
        </w:rPr>
        <w:t>party autonomy, partnership, unmarried couple, register, property regime, property relationships</w:t>
      </w:r>
      <w:r w:rsidR="00EB0582">
        <w:rPr>
          <w:rFonts w:ascii="Calibri" w:hAnsi="Calibri" w:cs="Times New Roman"/>
          <w:sz w:val="24"/>
          <w:szCs w:val="24"/>
          <w:lang w:val="en-GB"/>
        </w:rPr>
        <w:t>.</w:t>
      </w:r>
    </w:p>
    <w:p w:rsidR="00A81597" w:rsidRPr="00A81597" w:rsidRDefault="006730E3" w:rsidP="00416B3A">
      <w:pPr>
        <w:spacing w:line="312" w:lineRule="auto"/>
        <w:jc w:val="both"/>
        <w:rPr>
          <w:rFonts w:ascii="Calibri" w:hAnsi="Calibri" w:cs="Times New Roman"/>
          <w:smallCaps/>
          <w:sz w:val="24"/>
          <w:szCs w:val="24"/>
        </w:rPr>
      </w:pPr>
      <w:r w:rsidRPr="00EB0582">
        <w:rPr>
          <w:rFonts w:ascii="Calibri" w:hAnsi="Calibri" w:cs="Times New Roman"/>
          <w:smallCaps/>
          <w:sz w:val="24"/>
          <w:szCs w:val="24"/>
        </w:rPr>
        <w:t>Sumario</w:t>
      </w:r>
      <w:r w:rsidRPr="006730E3">
        <w:rPr>
          <w:rFonts w:ascii="Calibri" w:hAnsi="Calibri" w:cs="Times New Roman"/>
          <w:sz w:val="24"/>
          <w:szCs w:val="24"/>
        </w:rPr>
        <w:t xml:space="preserve">: </w:t>
      </w:r>
      <w:r w:rsidR="00A81597" w:rsidRPr="00A81597">
        <w:rPr>
          <w:rFonts w:ascii="Calibri" w:hAnsi="Calibri" w:cs="Times New Roman"/>
          <w:smallCaps/>
          <w:sz w:val="24"/>
          <w:szCs w:val="24"/>
        </w:rPr>
        <w:t>1. Introducción</w:t>
      </w:r>
      <w:r w:rsidR="00A81597">
        <w:rPr>
          <w:rFonts w:ascii="Calibri" w:hAnsi="Calibri" w:cs="Times New Roman"/>
          <w:smallCaps/>
          <w:sz w:val="24"/>
          <w:szCs w:val="24"/>
        </w:rPr>
        <w:t xml:space="preserve">. </w:t>
      </w:r>
      <w:r w:rsidR="00A81597" w:rsidRPr="00A81597">
        <w:rPr>
          <w:rFonts w:ascii="Calibri" w:hAnsi="Calibri" w:cs="Times New Roman"/>
          <w:sz w:val="24"/>
          <w:szCs w:val="24"/>
        </w:rPr>
        <w:t xml:space="preserve">2. </w:t>
      </w:r>
      <w:r w:rsidR="00A81597">
        <w:rPr>
          <w:rFonts w:ascii="Calibri" w:hAnsi="Calibri" w:cs="Times New Roman"/>
          <w:smallCaps/>
          <w:sz w:val="24"/>
          <w:szCs w:val="24"/>
        </w:rPr>
        <w:t xml:space="preserve">El </w:t>
      </w:r>
      <w:r w:rsidR="00A81597" w:rsidRPr="00A81597">
        <w:rPr>
          <w:rFonts w:ascii="Calibri" w:hAnsi="Calibri" w:cs="Times New Roman"/>
          <w:smallCaps/>
          <w:sz w:val="24"/>
          <w:szCs w:val="24"/>
        </w:rPr>
        <w:t>régimen económico legal de la pareja inscrita: la sociedad de gananciales</w:t>
      </w:r>
      <w:r w:rsidR="00A81597">
        <w:rPr>
          <w:rFonts w:ascii="Calibri" w:hAnsi="Calibri" w:cs="Times New Roman"/>
          <w:smallCaps/>
          <w:sz w:val="24"/>
          <w:szCs w:val="24"/>
        </w:rPr>
        <w:t xml:space="preserve">. </w:t>
      </w:r>
      <w:r w:rsidR="00A81597" w:rsidRPr="00A81597">
        <w:rPr>
          <w:rFonts w:ascii="Calibri" w:hAnsi="Calibri" w:cs="Times New Roman"/>
          <w:sz w:val="24"/>
          <w:szCs w:val="24"/>
        </w:rPr>
        <w:t xml:space="preserve">1.1. </w:t>
      </w:r>
      <w:r w:rsidR="00A81597" w:rsidRPr="00A81597">
        <w:rPr>
          <w:rFonts w:ascii="Calibri" w:hAnsi="Calibri" w:cs="Times New Roman"/>
          <w:i/>
          <w:sz w:val="24"/>
          <w:szCs w:val="24"/>
        </w:rPr>
        <w:t>Debate entre el ámbito académico y los profesionales prácticos</w:t>
      </w:r>
      <w:r w:rsidR="00A81597">
        <w:rPr>
          <w:rFonts w:ascii="Calibri" w:hAnsi="Calibri" w:cs="Times New Roman"/>
          <w:i/>
          <w:sz w:val="24"/>
          <w:szCs w:val="24"/>
        </w:rPr>
        <w:t xml:space="preserve">. </w:t>
      </w:r>
      <w:r w:rsidR="00A81597" w:rsidRPr="00A81597">
        <w:rPr>
          <w:rFonts w:ascii="Calibri" w:hAnsi="Calibri" w:cs="Times New Roman"/>
          <w:sz w:val="24"/>
          <w:szCs w:val="24"/>
        </w:rPr>
        <w:t xml:space="preserve">1.2. </w:t>
      </w:r>
      <w:r w:rsidR="00A81597" w:rsidRPr="00A81597">
        <w:rPr>
          <w:rFonts w:ascii="Calibri" w:hAnsi="Calibri" w:cs="Times New Roman"/>
          <w:i/>
          <w:sz w:val="24"/>
          <w:szCs w:val="24"/>
        </w:rPr>
        <w:t>Mención a los escasos pronunciamientos jurisprudenciales en la materia</w:t>
      </w:r>
      <w:r w:rsidR="00A81597">
        <w:rPr>
          <w:rFonts w:ascii="Calibri" w:hAnsi="Calibri" w:cs="Times New Roman"/>
          <w:i/>
          <w:sz w:val="24"/>
          <w:szCs w:val="24"/>
        </w:rPr>
        <w:t xml:space="preserve">. </w:t>
      </w:r>
      <w:r w:rsidR="00A81597" w:rsidRPr="00A81597">
        <w:rPr>
          <w:rFonts w:ascii="Calibri" w:hAnsi="Calibri" w:cs="Times New Roman"/>
          <w:sz w:val="24"/>
          <w:szCs w:val="24"/>
        </w:rPr>
        <w:t xml:space="preserve">2. </w:t>
      </w:r>
      <w:r w:rsidR="00A81597" w:rsidRPr="00A81597">
        <w:rPr>
          <w:rFonts w:ascii="Calibri" w:hAnsi="Calibri" w:cs="Times New Roman"/>
          <w:smallCaps/>
          <w:sz w:val="24"/>
          <w:szCs w:val="24"/>
        </w:rPr>
        <w:t>La autonomía de la voluntad de la pareja</w:t>
      </w:r>
      <w:r w:rsidR="00A81597">
        <w:rPr>
          <w:rFonts w:ascii="Calibri" w:hAnsi="Calibri" w:cs="Times New Roman"/>
          <w:sz w:val="24"/>
          <w:szCs w:val="24"/>
        </w:rPr>
        <w:t xml:space="preserve">. </w:t>
      </w:r>
      <w:r w:rsidR="00A81597" w:rsidRPr="00A81597">
        <w:rPr>
          <w:rFonts w:ascii="Calibri" w:hAnsi="Calibri" w:cs="Times New Roman"/>
          <w:sz w:val="24"/>
          <w:szCs w:val="24"/>
        </w:rPr>
        <w:t>2.1. Respeto de la autonomía privada: reflexiones a la luz de la STC 93/2013, de 23 de abril</w:t>
      </w:r>
      <w:r w:rsidR="00A81597">
        <w:rPr>
          <w:rFonts w:ascii="Calibri" w:hAnsi="Calibri" w:cs="Times New Roman"/>
          <w:sz w:val="24"/>
          <w:szCs w:val="24"/>
        </w:rPr>
        <w:t xml:space="preserve">. </w:t>
      </w:r>
      <w:r w:rsidR="00A81597" w:rsidRPr="00A81597">
        <w:rPr>
          <w:rFonts w:ascii="Calibri" w:hAnsi="Calibri" w:cs="Times New Roman"/>
          <w:sz w:val="24"/>
          <w:szCs w:val="24"/>
        </w:rPr>
        <w:t xml:space="preserve">2.2. </w:t>
      </w:r>
      <w:r w:rsidR="00A81597" w:rsidRPr="00A81597">
        <w:rPr>
          <w:rFonts w:ascii="Calibri" w:hAnsi="Calibri" w:cs="Times New Roman"/>
          <w:i/>
          <w:sz w:val="24"/>
          <w:szCs w:val="24"/>
        </w:rPr>
        <w:t>Mecanismos de la regulación gallega para respetar la voluntad de la pareja.</w:t>
      </w:r>
      <w:r w:rsidR="00A81597">
        <w:rPr>
          <w:rFonts w:ascii="Calibri" w:hAnsi="Calibri" w:cs="Times New Roman"/>
          <w:sz w:val="24"/>
          <w:szCs w:val="24"/>
        </w:rPr>
        <w:t xml:space="preserve"> </w:t>
      </w:r>
      <w:r w:rsidR="00A81597" w:rsidRPr="00A81597">
        <w:rPr>
          <w:rFonts w:ascii="Calibri" w:hAnsi="Calibri" w:cs="Times New Roman"/>
          <w:sz w:val="24"/>
          <w:szCs w:val="24"/>
        </w:rPr>
        <w:t>2.2.1. La finalidad última de la reforma de 2007</w:t>
      </w:r>
      <w:r w:rsidR="00A81597">
        <w:rPr>
          <w:rFonts w:ascii="Calibri" w:hAnsi="Calibri" w:cs="Times New Roman"/>
          <w:sz w:val="24"/>
          <w:szCs w:val="24"/>
        </w:rPr>
        <w:t xml:space="preserve">. </w:t>
      </w:r>
      <w:r w:rsidR="00A81597" w:rsidRPr="00A81597">
        <w:rPr>
          <w:rFonts w:ascii="Calibri" w:hAnsi="Calibri" w:cs="Times New Roman"/>
          <w:sz w:val="24"/>
          <w:szCs w:val="24"/>
        </w:rPr>
        <w:t xml:space="preserve">2.2.2. Las competencias del </w:t>
      </w:r>
      <w:r w:rsidR="00A81597" w:rsidRPr="00A81597">
        <w:rPr>
          <w:rFonts w:ascii="Calibri" w:hAnsi="Calibri" w:cs="Times New Roman"/>
          <w:sz w:val="24"/>
          <w:szCs w:val="24"/>
        </w:rPr>
        <w:lastRenderedPageBreak/>
        <w:t>legislador gallego para crear el RPHG</w:t>
      </w:r>
      <w:r w:rsidR="00A81597">
        <w:rPr>
          <w:rFonts w:ascii="Calibri" w:hAnsi="Calibri" w:cs="Times New Roman"/>
          <w:sz w:val="24"/>
          <w:szCs w:val="24"/>
        </w:rPr>
        <w:t xml:space="preserve">. </w:t>
      </w:r>
      <w:r w:rsidR="00A81597" w:rsidRPr="00A81597">
        <w:rPr>
          <w:rFonts w:ascii="Calibri" w:hAnsi="Calibri" w:cs="Times New Roman"/>
          <w:sz w:val="24"/>
          <w:szCs w:val="24"/>
          <w:shd w:val="clear" w:color="auto" w:fill="FFFFFF"/>
        </w:rPr>
        <w:t>2.2.3. La eficacia y alcance práctico del sistema creado</w:t>
      </w:r>
      <w:r w:rsidR="00A81597">
        <w:rPr>
          <w:rFonts w:ascii="Calibri" w:hAnsi="Calibri" w:cs="Times New Roman"/>
          <w:sz w:val="24"/>
          <w:szCs w:val="24"/>
          <w:shd w:val="clear" w:color="auto" w:fill="FFFFFF"/>
        </w:rPr>
        <w:t xml:space="preserve">. </w:t>
      </w:r>
      <w:r w:rsidR="00A81597" w:rsidRPr="00A81597">
        <w:rPr>
          <w:rFonts w:ascii="Calibri" w:hAnsi="Calibri" w:cs="Times New Roman"/>
          <w:smallCaps/>
          <w:sz w:val="24"/>
          <w:szCs w:val="24"/>
        </w:rPr>
        <w:t>3. Conclusiones</w:t>
      </w:r>
      <w:r w:rsidR="00A81597">
        <w:rPr>
          <w:rFonts w:ascii="Calibri" w:hAnsi="Calibri" w:cs="Times New Roman"/>
          <w:smallCaps/>
          <w:sz w:val="24"/>
          <w:szCs w:val="24"/>
        </w:rPr>
        <w:t>. Bibliografía.</w:t>
      </w:r>
    </w:p>
    <w:p w:rsidR="006730E3" w:rsidRPr="006730E3" w:rsidRDefault="006730E3" w:rsidP="00416B3A">
      <w:pPr>
        <w:pBdr>
          <w:bottom w:val="single" w:sz="6" w:space="1" w:color="auto"/>
        </w:pBdr>
        <w:spacing w:line="312" w:lineRule="auto"/>
        <w:jc w:val="both"/>
        <w:rPr>
          <w:rFonts w:ascii="Calibri" w:hAnsi="Calibri" w:cs="Times New Roman"/>
          <w:sz w:val="24"/>
          <w:szCs w:val="24"/>
        </w:rPr>
      </w:pPr>
    </w:p>
    <w:p w:rsidR="00C21CFB" w:rsidRPr="006730E3" w:rsidRDefault="00C21CFB" w:rsidP="00416B3A">
      <w:pPr>
        <w:spacing w:line="312" w:lineRule="auto"/>
        <w:jc w:val="both"/>
        <w:rPr>
          <w:rFonts w:ascii="Calibri" w:hAnsi="Calibri" w:cs="Times New Roman"/>
          <w:sz w:val="24"/>
          <w:szCs w:val="24"/>
        </w:rPr>
      </w:pPr>
    </w:p>
    <w:p w:rsidR="00686588" w:rsidRPr="00A81597" w:rsidRDefault="00C21CFB" w:rsidP="00416B3A">
      <w:pPr>
        <w:spacing w:line="312" w:lineRule="auto"/>
        <w:jc w:val="both"/>
        <w:rPr>
          <w:rFonts w:ascii="Calibri" w:hAnsi="Calibri" w:cs="Times New Roman"/>
          <w:smallCaps/>
          <w:sz w:val="24"/>
          <w:szCs w:val="24"/>
        </w:rPr>
      </w:pPr>
      <w:r w:rsidRPr="00A81597">
        <w:rPr>
          <w:rFonts w:ascii="Calibri" w:hAnsi="Calibri" w:cs="Times New Roman"/>
          <w:smallCaps/>
          <w:sz w:val="24"/>
          <w:szCs w:val="24"/>
        </w:rPr>
        <w:t xml:space="preserve">1. </w:t>
      </w:r>
      <w:r w:rsidR="001262C4" w:rsidRPr="00A81597">
        <w:rPr>
          <w:rFonts w:ascii="Calibri" w:hAnsi="Calibri" w:cs="Times New Roman"/>
          <w:smallCaps/>
          <w:sz w:val="24"/>
          <w:szCs w:val="24"/>
        </w:rPr>
        <w:t>I</w:t>
      </w:r>
      <w:r w:rsidR="00A81597" w:rsidRPr="00A81597">
        <w:rPr>
          <w:rFonts w:ascii="Calibri" w:hAnsi="Calibri" w:cs="Times New Roman"/>
          <w:smallCaps/>
          <w:sz w:val="24"/>
          <w:szCs w:val="24"/>
        </w:rPr>
        <w:t>ntroducción</w:t>
      </w:r>
    </w:p>
    <w:p w:rsidR="00F04657" w:rsidRPr="006730E3" w:rsidRDefault="00F04657" w:rsidP="00416B3A">
      <w:pPr>
        <w:spacing w:line="312" w:lineRule="auto"/>
        <w:jc w:val="both"/>
        <w:rPr>
          <w:rFonts w:ascii="Calibri" w:hAnsi="Calibri" w:cs="Times New Roman"/>
          <w:sz w:val="24"/>
          <w:szCs w:val="24"/>
        </w:rPr>
      </w:pPr>
      <w:r w:rsidRPr="006730E3">
        <w:rPr>
          <w:rFonts w:ascii="Calibri" w:hAnsi="Calibri" w:cs="Times New Roman"/>
          <w:sz w:val="24"/>
          <w:szCs w:val="24"/>
        </w:rPr>
        <w:t>La regulación de</w:t>
      </w:r>
      <w:r w:rsidR="00DD4EFF" w:rsidRPr="006730E3">
        <w:rPr>
          <w:rFonts w:ascii="Calibri" w:hAnsi="Calibri" w:cs="Times New Roman"/>
          <w:sz w:val="24"/>
          <w:szCs w:val="24"/>
        </w:rPr>
        <w:t xml:space="preserve">l </w:t>
      </w:r>
      <w:r w:rsidR="00DD4EFF" w:rsidRPr="006730E3">
        <w:rPr>
          <w:rFonts w:ascii="Calibri" w:hAnsi="Calibri" w:cs="Times New Roman"/>
          <w:i/>
          <w:sz w:val="24"/>
          <w:szCs w:val="24"/>
        </w:rPr>
        <w:t>status</w:t>
      </w:r>
      <w:r w:rsidR="00DD4EFF" w:rsidRPr="006730E3">
        <w:rPr>
          <w:rFonts w:ascii="Calibri" w:hAnsi="Calibri" w:cs="Times New Roman"/>
          <w:sz w:val="24"/>
          <w:szCs w:val="24"/>
        </w:rPr>
        <w:t xml:space="preserve"> de</w:t>
      </w:r>
      <w:r w:rsidRPr="006730E3">
        <w:rPr>
          <w:rFonts w:ascii="Calibri" w:hAnsi="Calibri" w:cs="Times New Roman"/>
          <w:sz w:val="24"/>
          <w:szCs w:val="24"/>
        </w:rPr>
        <w:t xml:space="preserve"> las parejas de hecho contenida en la Disposición adicional tercera (</w:t>
      </w:r>
      <w:r w:rsidR="00183F44" w:rsidRPr="006730E3">
        <w:rPr>
          <w:rFonts w:ascii="Calibri" w:hAnsi="Calibri" w:cs="Times New Roman"/>
          <w:sz w:val="24"/>
          <w:szCs w:val="24"/>
        </w:rPr>
        <w:t>en adelante DAT</w:t>
      </w:r>
      <w:r w:rsidRPr="006730E3">
        <w:rPr>
          <w:rFonts w:ascii="Calibri" w:hAnsi="Calibri" w:cs="Times New Roman"/>
          <w:sz w:val="24"/>
          <w:szCs w:val="24"/>
        </w:rPr>
        <w:t>)</w:t>
      </w:r>
      <w:r w:rsidR="00183F44" w:rsidRPr="006730E3">
        <w:rPr>
          <w:rFonts w:ascii="Calibri" w:hAnsi="Calibri" w:cs="Times New Roman"/>
          <w:sz w:val="24"/>
          <w:szCs w:val="24"/>
        </w:rPr>
        <w:t xml:space="preserve"> </w:t>
      </w:r>
      <w:r w:rsidRPr="006730E3">
        <w:rPr>
          <w:rFonts w:ascii="Calibri" w:hAnsi="Calibri" w:cs="Times New Roman"/>
          <w:sz w:val="24"/>
          <w:szCs w:val="24"/>
        </w:rPr>
        <w:t>de la Ley 2/2006, de 14 de junio, de Derecho civil de Galicia (en adelante LDCG) ha sido objeto de incesantes críticas desde la promulgación del texto legal</w:t>
      </w:r>
      <w:r w:rsidR="00183F44" w:rsidRPr="006730E3">
        <w:rPr>
          <w:rFonts w:ascii="Calibri" w:hAnsi="Calibri" w:cs="Times New Roman"/>
          <w:sz w:val="24"/>
          <w:szCs w:val="24"/>
        </w:rPr>
        <w:t xml:space="preserve"> y tras la modificación de dicha previsión en el año 2007</w:t>
      </w:r>
      <w:r w:rsidR="00183F44" w:rsidRPr="006730E3">
        <w:rPr>
          <w:rStyle w:val="Refdenotaalpie"/>
          <w:rFonts w:ascii="Calibri" w:hAnsi="Calibri" w:cs="Times New Roman"/>
          <w:sz w:val="24"/>
          <w:szCs w:val="24"/>
        </w:rPr>
        <w:footnoteReference w:id="2"/>
      </w:r>
      <w:r w:rsidR="00183F44" w:rsidRPr="006730E3">
        <w:rPr>
          <w:rFonts w:ascii="Calibri" w:hAnsi="Calibri" w:cs="Times New Roman"/>
          <w:sz w:val="24"/>
          <w:szCs w:val="24"/>
        </w:rPr>
        <w:t>; reforma mediante la cual se pasó de un</w:t>
      </w:r>
      <w:r w:rsidR="00DD4EFF" w:rsidRPr="006730E3">
        <w:rPr>
          <w:rFonts w:ascii="Calibri" w:hAnsi="Calibri" w:cs="Times New Roman"/>
          <w:sz w:val="24"/>
          <w:szCs w:val="24"/>
        </w:rPr>
        <w:t xml:space="preserve"> sistema basado </w:t>
      </w:r>
      <w:r w:rsidR="000917A0" w:rsidRPr="006730E3">
        <w:rPr>
          <w:rFonts w:ascii="Calibri" w:hAnsi="Calibri" w:cs="Times New Roman"/>
          <w:sz w:val="24"/>
          <w:szCs w:val="24"/>
        </w:rPr>
        <w:t xml:space="preserve">principalmente </w:t>
      </w:r>
      <w:r w:rsidR="00DD4EFF" w:rsidRPr="006730E3">
        <w:rPr>
          <w:rFonts w:ascii="Calibri" w:hAnsi="Calibri" w:cs="Times New Roman"/>
          <w:sz w:val="24"/>
          <w:szCs w:val="24"/>
        </w:rPr>
        <w:t xml:space="preserve">en la </w:t>
      </w:r>
      <w:r w:rsidR="000917A0" w:rsidRPr="006730E3">
        <w:rPr>
          <w:rFonts w:ascii="Calibri" w:hAnsi="Calibri" w:cs="Times New Roman"/>
          <w:sz w:val="24"/>
          <w:szCs w:val="24"/>
        </w:rPr>
        <w:t>dato fáctico de la</w:t>
      </w:r>
      <w:r w:rsidR="00DD4EFF" w:rsidRPr="006730E3">
        <w:rPr>
          <w:rFonts w:ascii="Calibri" w:hAnsi="Calibri" w:cs="Times New Roman"/>
          <w:sz w:val="24"/>
          <w:szCs w:val="24"/>
        </w:rPr>
        <w:t xml:space="preserve"> cohabitación de la pareja a un modelo cuya aplicación depende de</w:t>
      </w:r>
      <w:r w:rsidR="000917A0" w:rsidRPr="006730E3">
        <w:rPr>
          <w:rFonts w:ascii="Calibri" w:hAnsi="Calibri" w:cs="Times New Roman"/>
          <w:sz w:val="24"/>
          <w:szCs w:val="24"/>
        </w:rPr>
        <w:t>l cumplimiento de</w:t>
      </w:r>
      <w:r w:rsidR="00DD4EFF" w:rsidRPr="006730E3">
        <w:rPr>
          <w:rFonts w:ascii="Calibri" w:hAnsi="Calibri" w:cs="Times New Roman"/>
          <w:sz w:val="24"/>
          <w:szCs w:val="24"/>
        </w:rPr>
        <w:t xml:space="preserve"> determinados requisitos formales</w:t>
      </w:r>
      <w:r w:rsidR="000518C0" w:rsidRPr="006730E3">
        <w:rPr>
          <w:rStyle w:val="Refdenotaalpie"/>
          <w:rFonts w:ascii="Calibri" w:hAnsi="Calibri" w:cs="Times New Roman"/>
          <w:sz w:val="24"/>
          <w:szCs w:val="24"/>
        </w:rPr>
        <w:footnoteReference w:id="3"/>
      </w:r>
      <w:r w:rsidR="00DD4EFF" w:rsidRPr="006730E3">
        <w:rPr>
          <w:rFonts w:ascii="Calibri" w:hAnsi="Calibri" w:cs="Times New Roman"/>
          <w:sz w:val="24"/>
          <w:szCs w:val="24"/>
        </w:rPr>
        <w:t>.</w:t>
      </w:r>
    </w:p>
    <w:p w:rsidR="00B10FDD" w:rsidRPr="006730E3" w:rsidRDefault="009B78F6"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Si bien no podemos entrar a valorar la </w:t>
      </w:r>
      <w:r w:rsidR="0016509C" w:rsidRPr="006730E3">
        <w:rPr>
          <w:rFonts w:ascii="Calibri" w:hAnsi="Calibri" w:cs="Times New Roman"/>
          <w:sz w:val="24"/>
          <w:szCs w:val="24"/>
        </w:rPr>
        <w:t>problemática que plantea la DAT en toda su extensión</w:t>
      </w:r>
      <w:r w:rsidRPr="006730E3">
        <w:rPr>
          <w:rFonts w:ascii="Calibri" w:hAnsi="Calibri" w:cs="Times New Roman"/>
          <w:sz w:val="24"/>
          <w:szCs w:val="24"/>
        </w:rPr>
        <w:t>, pues la finalidad de este análisis es mucho más concreta,</w:t>
      </w:r>
      <w:r w:rsidR="00904AF9" w:rsidRPr="006730E3">
        <w:rPr>
          <w:rFonts w:ascii="Calibri" w:hAnsi="Calibri" w:cs="Times New Roman"/>
          <w:sz w:val="24"/>
          <w:szCs w:val="24"/>
        </w:rPr>
        <w:t xml:space="preserve"> los calificati</w:t>
      </w:r>
      <w:r w:rsidR="00D61A52" w:rsidRPr="006730E3">
        <w:rPr>
          <w:rFonts w:ascii="Calibri" w:hAnsi="Calibri" w:cs="Times New Roman"/>
          <w:sz w:val="24"/>
          <w:szCs w:val="24"/>
        </w:rPr>
        <w:t>vos con los que se tilda</w:t>
      </w:r>
      <w:r w:rsidR="0016509C" w:rsidRPr="006730E3">
        <w:rPr>
          <w:rFonts w:ascii="Calibri" w:hAnsi="Calibri" w:cs="Times New Roman"/>
          <w:sz w:val="24"/>
          <w:szCs w:val="24"/>
        </w:rPr>
        <w:t xml:space="preserve"> dicha disposición</w:t>
      </w:r>
      <w:r w:rsidR="00904AF9" w:rsidRPr="006730E3">
        <w:rPr>
          <w:rFonts w:ascii="Calibri" w:hAnsi="Calibri" w:cs="Times New Roman"/>
          <w:sz w:val="24"/>
          <w:szCs w:val="24"/>
        </w:rPr>
        <w:t xml:space="preserve">, en particular, y la equiparación de las parejas de hecho al matrimonio, en general, </w:t>
      </w:r>
      <w:r w:rsidR="009E08B9" w:rsidRPr="006730E3">
        <w:rPr>
          <w:rFonts w:ascii="Calibri" w:hAnsi="Calibri" w:cs="Times New Roman"/>
          <w:sz w:val="24"/>
          <w:szCs w:val="24"/>
        </w:rPr>
        <w:t xml:space="preserve">son </w:t>
      </w:r>
      <w:r w:rsidR="0014512B" w:rsidRPr="006730E3">
        <w:rPr>
          <w:rFonts w:ascii="Calibri" w:hAnsi="Calibri" w:cs="Times New Roman"/>
          <w:sz w:val="24"/>
          <w:szCs w:val="24"/>
        </w:rPr>
        <w:t>representativos de</w:t>
      </w:r>
      <w:r w:rsidR="0016509C" w:rsidRPr="006730E3">
        <w:rPr>
          <w:rFonts w:ascii="Calibri" w:hAnsi="Calibri" w:cs="Times New Roman"/>
          <w:sz w:val="24"/>
          <w:szCs w:val="24"/>
        </w:rPr>
        <w:t xml:space="preserve"> las críticas a las que hemos aludido</w:t>
      </w:r>
      <w:r w:rsidR="00904AF9" w:rsidRPr="006730E3">
        <w:rPr>
          <w:rFonts w:ascii="Calibri" w:hAnsi="Calibri" w:cs="Times New Roman"/>
          <w:sz w:val="24"/>
          <w:szCs w:val="24"/>
        </w:rPr>
        <w:t>.</w:t>
      </w:r>
      <w:r w:rsidR="00047862" w:rsidRPr="006730E3">
        <w:rPr>
          <w:rFonts w:ascii="Calibri" w:hAnsi="Calibri" w:cs="Times New Roman"/>
          <w:sz w:val="24"/>
          <w:szCs w:val="24"/>
        </w:rPr>
        <w:t xml:space="preserve"> Así se </w:t>
      </w:r>
      <w:r w:rsidR="0016509C" w:rsidRPr="006730E3">
        <w:rPr>
          <w:rFonts w:ascii="Calibri" w:hAnsi="Calibri" w:cs="Times New Roman"/>
          <w:sz w:val="24"/>
          <w:szCs w:val="24"/>
        </w:rPr>
        <w:t>ha dicho que la DAT constituye</w:t>
      </w:r>
      <w:r w:rsidR="00C6071D" w:rsidRPr="006730E3">
        <w:rPr>
          <w:rFonts w:ascii="Calibri" w:hAnsi="Calibri" w:cs="Times New Roman"/>
          <w:sz w:val="24"/>
          <w:szCs w:val="24"/>
        </w:rPr>
        <w:t xml:space="preserve"> un </w:t>
      </w:r>
      <w:r w:rsidR="001143F7" w:rsidRPr="006730E3">
        <w:rPr>
          <w:rFonts w:ascii="Calibri" w:hAnsi="Calibri" w:cs="Times New Roman"/>
          <w:sz w:val="24"/>
          <w:szCs w:val="24"/>
        </w:rPr>
        <w:t>«</w:t>
      </w:r>
      <w:r w:rsidR="00C6071D" w:rsidRPr="006730E3">
        <w:rPr>
          <w:rFonts w:ascii="Calibri" w:hAnsi="Calibri" w:cs="Times New Roman"/>
          <w:sz w:val="24"/>
          <w:szCs w:val="24"/>
        </w:rPr>
        <w:t>monstruo jurídico</w:t>
      </w:r>
      <w:r w:rsidR="001143F7" w:rsidRPr="006730E3">
        <w:rPr>
          <w:rFonts w:ascii="Calibri" w:hAnsi="Calibri" w:cs="Times New Roman"/>
          <w:sz w:val="24"/>
          <w:szCs w:val="24"/>
        </w:rPr>
        <w:t>»</w:t>
      </w:r>
      <w:r w:rsidR="00C6071D" w:rsidRPr="006730E3">
        <w:rPr>
          <w:rFonts w:ascii="Calibri" w:hAnsi="Calibri" w:cs="Times New Roman"/>
          <w:sz w:val="24"/>
          <w:szCs w:val="24"/>
        </w:rPr>
        <w:t xml:space="preserve">, un </w:t>
      </w:r>
      <w:r w:rsidR="001143F7" w:rsidRPr="006730E3">
        <w:rPr>
          <w:rFonts w:ascii="Calibri" w:hAnsi="Calibri" w:cs="Times New Roman"/>
          <w:sz w:val="24"/>
          <w:szCs w:val="24"/>
        </w:rPr>
        <w:t>«</w:t>
      </w:r>
      <w:r w:rsidR="00C6071D" w:rsidRPr="006730E3">
        <w:rPr>
          <w:rFonts w:ascii="Calibri" w:hAnsi="Calibri" w:cs="Times New Roman"/>
          <w:sz w:val="24"/>
          <w:szCs w:val="24"/>
        </w:rPr>
        <w:t>dislate</w:t>
      </w:r>
      <w:r w:rsidR="001143F7" w:rsidRPr="006730E3">
        <w:rPr>
          <w:rFonts w:ascii="Calibri" w:hAnsi="Calibri" w:cs="Times New Roman"/>
          <w:sz w:val="24"/>
          <w:szCs w:val="24"/>
        </w:rPr>
        <w:t>»</w:t>
      </w:r>
      <w:r w:rsidR="00443C3B" w:rsidRPr="006730E3">
        <w:rPr>
          <w:rStyle w:val="Refdenotaalpie"/>
          <w:rFonts w:ascii="Calibri" w:hAnsi="Calibri" w:cs="Times New Roman"/>
          <w:sz w:val="24"/>
          <w:szCs w:val="24"/>
        </w:rPr>
        <w:footnoteReference w:id="4"/>
      </w:r>
      <w:r w:rsidR="00443C3B" w:rsidRPr="006730E3">
        <w:rPr>
          <w:rFonts w:ascii="Calibri" w:hAnsi="Calibri" w:cs="Times New Roman"/>
          <w:sz w:val="24"/>
          <w:szCs w:val="24"/>
        </w:rPr>
        <w:t xml:space="preserve"> </w:t>
      </w:r>
      <w:r w:rsidR="00047862" w:rsidRPr="006730E3">
        <w:rPr>
          <w:rFonts w:ascii="Calibri" w:hAnsi="Calibri" w:cs="Times New Roman"/>
          <w:sz w:val="24"/>
          <w:szCs w:val="24"/>
        </w:rPr>
        <w:t>o una regulación «peor que la que nunca había existido»</w:t>
      </w:r>
      <w:r w:rsidR="00047862" w:rsidRPr="006730E3">
        <w:rPr>
          <w:rStyle w:val="Refdenotaalpie"/>
          <w:rFonts w:ascii="Calibri" w:hAnsi="Calibri" w:cs="Times New Roman"/>
          <w:sz w:val="24"/>
          <w:szCs w:val="24"/>
        </w:rPr>
        <w:footnoteReference w:id="5"/>
      </w:r>
      <w:r w:rsidR="0098378B" w:rsidRPr="006730E3">
        <w:rPr>
          <w:rFonts w:ascii="Calibri" w:hAnsi="Calibri" w:cs="Times New Roman"/>
          <w:sz w:val="24"/>
          <w:szCs w:val="24"/>
        </w:rPr>
        <w:t xml:space="preserve"> y que la aplicación mimética de la regulación del matrimonio a la pareja de hecho no es «en contra de</w:t>
      </w:r>
      <w:r w:rsidR="00FC14B0" w:rsidRPr="006730E3">
        <w:rPr>
          <w:rFonts w:ascii="Calibri" w:hAnsi="Calibri" w:cs="Times New Roman"/>
          <w:sz w:val="24"/>
          <w:szCs w:val="24"/>
        </w:rPr>
        <w:t>l que la “</w:t>
      </w:r>
      <w:proofErr w:type="spellStart"/>
      <w:r w:rsidR="00FC14B0" w:rsidRPr="006730E3">
        <w:rPr>
          <w:rFonts w:ascii="Calibri" w:hAnsi="Calibri" w:cs="Times New Roman"/>
          <w:sz w:val="24"/>
          <w:szCs w:val="24"/>
        </w:rPr>
        <w:t>correcció</w:t>
      </w:r>
      <w:proofErr w:type="spellEnd"/>
      <w:r w:rsidR="00FC14B0" w:rsidRPr="006730E3">
        <w:rPr>
          <w:rFonts w:ascii="Calibri" w:hAnsi="Calibri" w:cs="Times New Roman"/>
          <w:sz w:val="24"/>
          <w:szCs w:val="24"/>
        </w:rPr>
        <w:t xml:space="preserve"> política</w:t>
      </w:r>
      <w:r w:rsidR="0098378B" w:rsidRPr="006730E3">
        <w:rPr>
          <w:rFonts w:ascii="Calibri" w:hAnsi="Calibri" w:cs="Times New Roman"/>
          <w:sz w:val="24"/>
          <w:szCs w:val="24"/>
        </w:rPr>
        <w:t xml:space="preserve">” </w:t>
      </w:r>
      <w:proofErr w:type="spellStart"/>
      <w:r w:rsidR="00FC14B0" w:rsidRPr="006730E3">
        <w:rPr>
          <w:rFonts w:ascii="Calibri" w:hAnsi="Calibri" w:cs="Times New Roman"/>
          <w:sz w:val="24"/>
          <w:szCs w:val="24"/>
        </w:rPr>
        <w:t>sovint</w:t>
      </w:r>
      <w:proofErr w:type="spellEnd"/>
      <w:r w:rsidR="00FC14B0" w:rsidRPr="006730E3">
        <w:rPr>
          <w:rFonts w:ascii="Calibri" w:hAnsi="Calibri" w:cs="Times New Roman"/>
          <w:sz w:val="24"/>
          <w:szCs w:val="24"/>
        </w:rPr>
        <w:t xml:space="preserve"> porta a pensar (…) una </w:t>
      </w:r>
      <w:proofErr w:type="spellStart"/>
      <w:r w:rsidR="00FC14B0" w:rsidRPr="006730E3">
        <w:rPr>
          <w:rFonts w:ascii="Calibri" w:hAnsi="Calibri" w:cs="Times New Roman"/>
          <w:sz w:val="24"/>
          <w:szCs w:val="24"/>
        </w:rPr>
        <w:t>consideració</w:t>
      </w:r>
      <w:proofErr w:type="spellEnd"/>
      <w:r w:rsidR="00FC14B0" w:rsidRPr="006730E3">
        <w:rPr>
          <w:rFonts w:ascii="Calibri" w:hAnsi="Calibri" w:cs="Times New Roman"/>
          <w:sz w:val="24"/>
          <w:szCs w:val="24"/>
        </w:rPr>
        <w:t xml:space="preserve"> </w:t>
      </w:r>
      <w:proofErr w:type="spellStart"/>
      <w:r w:rsidR="00FC14B0" w:rsidRPr="006730E3">
        <w:rPr>
          <w:rFonts w:ascii="Calibri" w:hAnsi="Calibri" w:cs="Times New Roman"/>
          <w:sz w:val="24"/>
          <w:szCs w:val="24"/>
        </w:rPr>
        <w:t>progressista</w:t>
      </w:r>
      <w:proofErr w:type="spellEnd"/>
      <w:r w:rsidR="00FC14B0" w:rsidRPr="006730E3">
        <w:rPr>
          <w:rFonts w:ascii="Calibri" w:hAnsi="Calibri" w:cs="Times New Roman"/>
          <w:sz w:val="24"/>
          <w:szCs w:val="24"/>
        </w:rPr>
        <w:t xml:space="preserve">, </w:t>
      </w:r>
      <w:proofErr w:type="spellStart"/>
      <w:r w:rsidR="00FC14B0" w:rsidRPr="006730E3">
        <w:rPr>
          <w:rFonts w:ascii="Calibri" w:hAnsi="Calibri" w:cs="Times New Roman"/>
          <w:sz w:val="24"/>
          <w:szCs w:val="24"/>
        </w:rPr>
        <w:t>sinó</w:t>
      </w:r>
      <w:proofErr w:type="spellEnd"/>
      <w:r w:rsidR="00FC14B0" w:rsidRPr="006730E3">
        <w:rPr>
          <w:rFonts w:ascii="Calibri" w:hAnsi="Calibri" w:cs="Times New Roman"/>
          <w:sz w:val="24"/>
          <w:szCs w:val="24"/>
        </w:rPr>
        <w:t xml:space="preserve"> </w:t>
      </w:r>
      <w:proofErr w:type="spellStart"/>
      <w:r w:rsidR="00FC14B0" w:rsidRPr="006730E3">
        <w:rPr>
          <w:rFonts w:ascii="Calibri" w:hAnsi="Calibri" w:cs="Times New Roman"/>
          <w:sz w:val="24"/>
          <w:szCs w:val="24"/>
        </w:rPr>
        <w:t>retrògada</w:t>
      </w:r>
      <w:proofErr w:type="spellEnd"/>
      <w:r w:rsidR="00FC14B0" w:rsidRPr="006730E3">
        <w:rPr>
          <w:rFonts w:ascii="Calibri" w:hAnsi="Calibri" w:cs="Times New Roman"/>
          <w:sz w:val="24"/>
          <w:szCs w:val="24"/>
        </w:rPr>
        <w:t xml:space="preserve"> i </w:t>
      </w:r>
      <w:proofErr w:type="spellStart"/>
      <w:r w:rsidR="00FC14B0" w:rsidRPr="006730E3">
        <w:rPr>
          <w:rFonts w:ascii="Calibri" w:hAnsi="Calibri" w:cs="Times New Roman"/>
          <w:sz w:val="24"/>
          <w:szCs w:val="24"/>
        </w:rPr>
        <w:t>errònia</w:t>
      </w:r>
      <w:proofErr w:type="spellEnd"/>
      <w:r w:rsidR="0098378B" w:rsidRPr="006730E3">
        <w:rPr>
          <w:rFonts w:ascii="Calibri" w:hAnsi="Calibri" w:cs="Times New Roman"/>
          <w:sz w:val="24"/>
          <w:szCs w:val="24"/>
        </w:rPr>
        <w:t>»</w:t>
      </w:r>
      <w:r w:rsidR="0098378B" w:rsidRPr="006730E3">
        <w:rPr>
          <w:rStyle w:val="Refdenotaalpie"/>
          <w:rFonts w:ascii="Calibri" w:hAnsi="Calibri" w:cs="Times New Roman"/>
          <w:sz w:val="24"/>
          <w:szCs w:val="24"/>
        </w:rPr>
        <w:footnoteReference w:id="6"/>
      </w:r>
      <w:r w:rsidR="0098378B" w:rsidRPr="006730E3">
        <w:rPr>
          <w:rFonts w:ascii="Calibri" w:hAnsi="Calibri" w:cs="Times New Roman"/>
          <w:sz w:val="24"/>
          <w:szCs w:val="24"/>
        </w:rPr>
        <w:t>.</w:t>
      </w:r>
    </w:p>
    <w:p w:rsidR="008308FF" w:rsidRPr="006730E3" w:rsidRDefault="00272854" w:rsidP="00416B3A">
      <w:pPr>
        <w:spacing w:line="312" w:lineRule="auto"/>
        <w:jc w:val="both"/>
        <w:rPr>
          <w:rFonts w:ascii="Calibri" w:hAnsi="Calibri" w:cs="Times New Roman"/>
          <w:sz w:val="24"/>
          <w:szCs w:val="24"/>
        </w:rPr>
      </w:pPr>
      <w:r w:rsidRPr="006730E3">
        <w:rPr>
          <w:rFonts w:ascii="Calibri" w:hAnsi="Calibri" w:cs="Times New Roman"/>
          <w:sz w:val="24"/>
          <w:szCs w:val="24"/>
        </w:rPr>
        <w:t>De entre todas las</w:t>
      </w:r>
      <w:r w:rsidR="008308FF" w:rsidRPr="006730E3">
        <w:rPr>
          <w:rFonts w:ascii="Calibri" w:hAnsi="Calibri" w:cs="Times New Roman"/>
          <w:sz w:val="24"/>
          <w:szCs w:val="24"/>
        </w:rPr>
        <w:t xml:space="preserve"> posibles</w:t>
      </w:r>
      <w:r w:rsidRPr="006730E3">
        <w:rPr>
          <w:rFonts w:ascii="Calibri" w:hAnsi="Calibri" w:cs="Times New Roman"/>
          <w:sz w:val="24"/>
          <w:szCs w:val="24"/>
        </w:rPr>
        <w:t xml:space="preserve"> </w:t>
      </w:r>
      <w:r w:rsidR="002A26E5" w:rsidRPr="006730E3">
        <w:rPr>
          <w:rFonts w:ascii="Calibri" w:hAnsi="Calibri" w:cs="Times New Roman"/>
          <w:sz w:val="24"/>
          <w:szCs w:val="24"/>
        </w:rPr>
        <w:t>cuestiones</w:t>
      </w:r>
      <w:r w:rsidRPr="006730E3">
        <w:rPr>
          <w:rFonts w:ascii="Calibri" w:hAnsi="Calibri" w:cs="Times New Roman"/>
          <w:sz w:val="24"/>
          <w:szCs w:val="24"/>
        </w:rPr>
        <w:t xml:space="preserve"> </w:t>
      </w:r>
      <w:r w:rsidR="008308FF" w:rsidRPr="006730E3">
        <w:rPr>
          <w:rFonts w:ascii="Calibri" w:hAnsi="Calibri" w:cs="Times New Roman"/>
          <w:sz w:val="24"/>
          <w:szCs w:val="24"/>
        </w:rPr>
        <w:t>a abordar</w:t>
      </w:r>
      <w:r w:rsidRPr="006730E3">
        <w:rPr>
          <w:rFonts w:ascii="Calibri" w:hAnsi="Calibri" w:cs="Times New Roman"/>
          <w:sz w:val="24"/>
          <w:szCs w:val="24"/>
        </w:rPr>
        <w:t xml:space="preserve">, que </w:t>
      </w:r>
      <w:r w:rsidR="002A26E5" w:rsidRPr="006730E3">
        <w:rPr>
          <w:rFonts w:ascii="Calibri" w:hAnsi="Calibri" w:cs="Times New Roman"/>
          <w:sz w:val="24"/>
          <w:szCs w:val="24"/>
        </w:rPr>
        <w:t xml:space="preserve">no </w:t>
      </w:r>
      <w:r w:rsidRPr="006730E3">
        <w:rPr>
          <w:rFonts w:ascii="Calibri" w:hAnsi="Calibri" w:cs="Times New Roman"/>
          <w:sz w:val="24"/>
          <w:szCs w:val="24"/>
        </w:rPr>
        <w:t>son</w:t>
      </w:r>
      <w:r w:rsidR="002A26E5" w:rsidRPr="006730E3">
        <w:rPr>
          <w:rFonts w:ascii="Calibri" w:hAnsi="Calibri" w:cs="Times New Roman"/>
          <w:sz w:val="24"/>
          <w:szCs w:val="24"/>
        </w:rPr>
        <w:t xml:space="preserve"> pocas</w:t>
      </w:r>
      <w:r w:rsidRPr="006730E3">
        <w:rPr>
          <w:rFonts w:ascii="Calibri" w:hAnsi="Calibri" w:cs="Times New Roman"/>
          <w:sz w:val="24"/>
          <w:szCs w:val="24"/>
        </w:rPr>
        <w:t xml:space="preserve">, </w:t>
      </w:r>
      <w:r w:rsidR="00CE7C8E" w:rsidRPr="006730E3">
        <w:rPr>
          <w:rFonts w:ascii="Calibri" w:hAnsi="Calibri" w:cs="Times New Roman"/>
          <w:sz w:val="24"/>
          <w:szCs w:val="24"/>
        </w:rPr>
        <w:t xml:space="preserve">este trabajo se centra </w:t>
      </w:r>
      <w:r w:rsidR="008C6D31" w:rsidRPr="006730E3">
        <w:rPr>
          <w:rFonts w:ascii="Calibri" w:hAnsi="Calibri" w:cs="Times New Roman"/>
          <w:sz w:val="24"/>
          <w:szCs w:val="24"/>
        </w:rPr>
        <w:t xml:space="preserve">en el régimen económico legal de la pareja no casada. Pero </w:t>
      </w:r>
      <w:r w:rsidR="00A30DFA" w:rsidRPr="006730E3">
        <w:rPr>
          <w:rFonts w:ascii="Calibri" w:hAnsi="Calibri" w:cs="Times New Roman"/>
          <w:sz w:val="24"/>
          <w:szCs w:val="24"/>
        </w:rPr>
        <w:t xml:space="preserve">no es nuestro propósito </w:t>
      </w:r>
      <w:r w:rsidR="008C6D31" w:rsidRPr="006730E3">
        <w:rPr>
          <w:rFonts w:ascii="Calibri" w:hAnsi="Calibri" w:cs="Times New Roman"/>
          <w:sz w:val="24"/>
          <w:szCs w:val="24"/>
        </w:rPr>
        <w:t>analizar</w:t>
      </w:r>
      <w:r w:rsidR="00F45DF6" w:rsidRPr="006730E3">
        <w:rPr>
          <w:rFonts w:ascii="Calibri" w:hAnsi="Calibri" w:cs="Times New Roman"/>
          <w:sz w:val="24"/>
          <w:szCs w:val="24"/>
        </w:rPr>
        <w:t xml:space="preserve"> simplemente</w:t>
      </w:r>
      <w:r w:rsidR="008C6D31" w:rsidRPr="006730E3">
        <w:rPr>
          <w:rFonts w:ascii="Calibri" w:hAnsi="Calibri" w:cs="Times New Roman"/>
          <w:sz w:val="24"/>
          <w:szCs w:val="24"/>
        </w:rPr>
        <w:t xml:space="preserve"> </w:t>
      </w:r>
      <w:r w:rsidR="00F45DF6" w:rsidRPr="006730E3">
        <w:rPr>
          <w:rFonts w:ascii="Calibri" w:hAnsi="Calibri" w:cs="Times New Roman"/>
          <w:sz w:val="24"/>
          <w:szCs w:val="24"/>
        </w:rPr>
        <w:t>qué</w:t>
      </w:r>
      <w:r w:rsidR="008C6D31" w:rsidRPr="006730E3">
        <w:rPr>
          <w:rFonts w:ascii="Calibri" w:hAnsi="Calibri" w:cs="Times New Roman"/>
          <w:sz w:val="24"/>
          <w:szCs w:val="24"/>
        </w:rPr>
        <w:t xml:space="preserve"> régimen económico</w:t>
      </w:r>
      <w:r w:rsidR="00F45DF6" w:rsidRPr="006730E3">
        <w:rPr>
          <w:rFonts w:ascii="Calibri" w:hAnsi="Calibri" w:cs="Times New Roman"/>
          <w:sz w:val="24"/>
          <w:szCs w:val="24"/>
        </w:rPr>
        <w:t xml:space="preserve"> determina la LDCG</w:t>
      </w:r>
      <w:r w:rsidR="002C0376" w:rsidRPr="006730E3">
        <w:rPr>
          <w:rFonts w:ascii="Calibri" w:hAnsi="Calibri" w:cs="Times New Roman"/>
          <w:sz w:val="24"/>
          <w:szCs w:val="24"/>
        </w:rPr>
        <w:t xml:space="preserve">; asunto que posiblemente ya esté bastante trillado y sobre el cual tomamos posición, sin perjuicio de poder aportar alguna impresión. </w:t>
      </w:r>
      <w:r w:rsidR="00A30DFA" w:rsidRPr="006730E3">
        <w:rPr>
          <w:rFonts w:ascii="Calibri" w:hAnsi="Calibri" w:cs="Times New Roman"/>
          <w:sz w:val="24"/>
          <w:szCs w:val="24"/>
        </w:rPr>
        <w:t>Nuestro objetivo es</w:t>
      </w:r>
      <w:r w:rsidR="008308FF" w:rsidRPr="006730E3">
        <w:rPr>
          <w:rFonts w:ascii="Calibri" w:hAnsi="Calibri" w:cs="Times New Roman"/>
          <w:sz w:val="24"/>
          <w:szCs w:val="24"/>
        </w:rPr>
        <w:t xml:space="preserve"> </w:t>
      </w:r>
      <w:r w:rsidR="002C0376" w:rsidRPr="006730E3">
        <w:rPr>
          <w:rFonts w:ascii="Calibri" w:hAnsi="Calibri" w:cs="Times New Roman"/>
          <w:sz w:val="24"/>
          <w:szCs w:val="24"/>
        </w:rPr>
        <w:t>determinar</w:t>
      </w:r>
      <w:r w:rsidR="008308FF" w:rsidRPr="006730E3">
        <w:rPr>
          <w:rFonts w:ascii="Calibri" w:hAnsi="Calibri" w:cs="Times New Roman"/>
          <w:sz w:val="24"/>
          <w:szCs w:val="24"/>
        </w:rPr>
        <w:t>, en primer lugar,</w:t>
      </w:r>
      <w:r w:rsidR="002C0376" w:rsidRPr="006730E3">
        <w:rPr>
          <w:rFonts w:ascii="Calibri" w:hAnsi="Calibri" w:cs="Times New Roman"/>
          <w:sz w:val="24"/>
          <w:szCs w:val="24"/>
        </w:rPr>
        <w:t xml:space="preserve"> si la </w:t>
      </w:r>
      <w:r w:rsidR="00F45DF6" w:rsidRPr="006730E3">
        <w:rPr>
          <w:rFonts w:ascii="Calibri" w:hAnsi="Calibri" w:cs="Times New Roman"/>
          <w:sz w:val="24"/>
          <w:szCs w:val="24"/>
        </w:rPr>
        <w:t>sujeción</w:t>
      </w:r>
      <w:r w:rsidR="002C0376" w:rsidRPr="006730E3">
        <w:rPr>
          <w:rFonts w:ascii="Calibri" w:hAnsi="Calibri" w:cs="Times New Roman"/>
          <w:sz w:val="24"/>
          <w:szCs w:val="24"/>
        </w:rPr>
        <w:t xml:space="preserve"> de</w:t>
      </w:r>
      <w:r w:rsidR="00F45DF6" w:rsidRPr="006730E3">
        <w:rPr>
          <w:rFonts w:ascii="Calibri" w:hAnsi="Calibri" w:cs="Times New Roman"/>
          <w:sz w:val="24"/>
          <w:szCs w:val="24"/>
        </w:rPr>
        <w:t xml:space="preserve"> la pareja no casada a</w:t>
      </w:r>
      <w:r w:rsidR="002C0376" w:rsidRPr="006730E3">
        <w:rPr>
          <w:rFonts w:ascii="Calibri" w:hAnsi="Calibri" w:cs="Times New Roman"/>
          <w:sz w:val="24"/>
          <w:szCs w:val="24"/>
        </w:rPr>
        <w:t xml:space="preserve"> un régimen económico</w:t>
      </w:r>
      <w:r w:rsidR="00F45DF6" w:rsidRPr="006730E3">
        <w:rPr>
          <w:rFonts w:ascii="Calibri" w:hAnsi="Calibri" w:cs="Times New Roman"/>
          <w:sz w:val="24"/>
          <w:szCs w:val="24"/>
        </w:rPr>
        <w:t xml:space="preserve"> en defecto de pacto, sea cual sea,</w:t>
      </w:r>
      <w:r w:rsidR="002C0376" w:rsidRPr="006730E3">
        <w:rPr>
          <w:rFonts w:ascii="Calibri" w:hAnsi="Calibri" w:cs="Times New Roman"/>
          <w:sz w:val="24"/>
          <w:szCs w:val="24"/>
        </w:rPr>
        <w:t xml:space="preserve"> es respetuoso</w:t>
      </w:r>
      <w:r w:rsidR="00F45DF6" w:rsidRPr="006730E3">
        <w:rPr>
          <w:rFonts w:ascii="Calibri" w:hAnsi="Calibri" w:cs="Times New Roman"/>
          <w:sz w:val="24"/>
          <w:szCs w:val="24"/>
        </w:rPr>
        <w:t xml:space="preserve"> con su </w:t>
      </w:r>
      <w:r w:rsidR="00A30DFA" w:rsidRPr="006730E3">
        <w:rPr>
          <w:rFonts w:ascii="Calibri" w:hAnsi="Calibri" w:cs="Times New Roman"/>
          <w:sz w:val="24"/>
          <w:szCs w:val="24"/>
        </w:rPr>
        <w:t>libertad para regir sus relaciones patrimoniales como consideren</w:t>
      </w:r>
      <w:r w:rsidR="00F45DF6" w:rsidRPr="006730E3">
        <w:rPr>
          <w:rFonts w:ascii="Calibri" w:hAnsi="Calibri" w:cs="Times New Roman"/>
          <w:sz w:val="24"/>
          <w:szCs w:val="24"/>
        </w:rPr>
        <w:t>. La respuesta, sin embargo,</w:t>
      </w:r>
      <w:r w:rsidR="00CE7C8E" w:rsidRPr="006730E3">
        <w:rPr>
          <w:rFonts w:ascii="Calibri" w:hAnsi="Calibri" w:cs="Times New Roman"/>
          <w:sz w:val="24"/>
          <w:szCs w:val="24"/>
        </w:rPr>
        <w:t xml:space="preserve"> no puede ceñirse a la mera</w:t>
      </w:r>
      <w:r w:rsidR="00F45DF6" w:rsidRPr="006730E3">
        <w:rPr>
          <w:rFonts w:ascii="Calibri" w:hAnsi="Calibri" w:cs="Times New Roman"/>
          <w:sz w:val="24"/>
          <w:szCs w:val="24"/>
        </w:rPr>
        <w:t xml:space="preserve"> </w:t>
      </w:r>
      <w:r w:rsidR="00CE7C8E" w:rsidRPr="006730E3">
        <w:rPr>
          <w:rFonts w:ascii="Calibri" w:hAnsi="Calibri" w:cs="Times New Roman"/>
          <w:sz w:val="24"/>
          <w:szCs w:val="24"/>
        </w:rPr>
        <w:t xml:space="preserve">posibilidad teórica de dicha regulación (es decir, afirmar sin más </w:t>
      </w:r>
      <w:r w:rsidR="00F45DF6" w:rsidRPr="006730E3">
        <w:rPr>
          <w:rFonts w:ascii="Calibri" w:hAnsi="Calibri" w:cs="Times New Roman"/>
          <w:sz w:val="24"/>
          <w:szCs w:val="24"/>
        </w:rPr>
        <w:lastRenderedPageBreak/>
        <w:t>si</w:t>
      </w:r>
      <w:r w:rsidR="00B80F40" w:rsidRPr="006730E3">
        <w:rPr>
          <w:rFonts w:ascii="Calibri" w:hAnsi="Calibri" w:cs="Times New Roman"/>
          <w:sz w:val="24"/>
          <w:szCs w:val="24"/>
        </w:rPr>
        <w:t xml:space="preserve"> el respeto a la autonomía de la voluntad de la pareja permite a</w:t>
      </w:r>
      <w:r w:rsidR="00F45DF6" w:rsidRPr="006730E3">
        <w:rPr>
          <w:rFonts w:ascii="Calibri" w:hAnsi="Calibri" w:cs="Times New Roman"/>
          <w:sz w:val="24"/>
          <w:szCs w:val="24"/>
        </w:rPr>
        <w:t xml:space="preserve">l legislador gallego establecer </w:t>
      </w:r>
      <w:r w:rsidR="00B80F40" w:rsidRPr="006730E3">
        <w:rPr>
          <w:rFonts w:ascii="Calibri" w:hAnsi="Calibri" w:cs="Times New Roman"/>
          <w:sz w:val="24"/>
          <w:szCs w:val="24"/>
        </w:rPr>
        <w:t xml:space="preserve">o no </w:t>
      </w:r>
      <w:r w:rsidR="00F45DF6" w:rsidRPr="006730E3">
        <w:rPr>
          <w:rFonts w:ascii="Calibri" w:hAnsi="Calibri" w:cs="Times New Roman"/>
          <w:sz w:val="24"/>
          <w:szCs w:val="24"/>
        </w:rPr>
        <w:t xml:space="preserve">un régimen económico legal </w:t>
      </w:r>
      <w:r w:rsidR="00B80F40" w:rsidRPr="006730E3">
        <w:rPr>
          <w:rFonts w:ascii="Calibri" w:hAnsi="Calibri" w:cs="Times New Roman"/>
          <w:sz w:val="24"/>
          <w:szCs w:val="24"/>
        </w:rPr>
        <w:t>en ausencia de pacto</w:t>
      </w:r>
      <w:r w:rsidR="00CE7C8E" w:rsidRPr="006730E3">
        <w:rPr>
          <w:rFonts w:ascii="Calibri" w:hAnsi="Calibri" w:cs="Times New Roman"/>
          <w:sz w:val="24"/>
          <w:szCs w:val="24"/>
        </w:rPr>
        <w:t>), sino que debe atender a la práctica</w:t>
      </w:r>
      <w:r w:rsidR="00F45DF6" w:rsidRPr="006730E3">
        <w:rPr>
          <w:rFonts w:ascii="Calibri" w:hAnsi="Calibri" w:cs="Times New Roman"/>
          <w:sz w:val="24"/>
          <w:szCs w:val="24"/>
        </w:rPr>
        <w:t xml:space="preserve">. </w:t>
      </w:r>
      <w:r w:rsidR="008308FF" w:rsidRPr="006730E3">
        <w:rPr>
          <w:rFonts w:ascii="Calibri" w:hAnsi="Calibri" w:cs="Times New Roman"/>
          <w:sz w:val="24"/>
          <w:szCs w:val="24"/>
        </w:rPr>
        <w:t>Por esta razón, nos preguntamos</w:t>
      </w:r>
      <w:r w:rsidR="00C5314D" w:rsidRPr="006730E3">
        <w:rPr>
          <w:rFonts w:ascii="Calibri" w:hAnsi="Calibri" w:cs="Times New Roman"/>
          <w:sz w:val="24"/>
          <w:szCs w:val="24"/>
        </w:rPr>
        <w:t>,</w:t>
      </w:r>
      <w:r w:rsidR="008308FF" w:rsidRPr="006730E3">
        <w:rPr>
          <w:rFonts w:ascii="Calibri" w:hAnsi="Calibri" w:cs="Times New Roman"/>
          <w:sz w:val="24"/>
          <w:szCs w:val="24"/>
        </w:rPr>
        <w:t xml:space="preserve"> en segundo lugar</w:t>
      </w:r>
      <w:r w:rsidR="00C5314D" w:rsidRPr="006730E3">
        <w:rPr>
          <w:rFonts w:ascii="Calibri" w:hAnsi="Calibri" w:cs="Times New Roman"/>
          <w:sz w:val="24"/>
          <w:szCs w:val="24"/>
        </w:rPr>
        <w:t>,</w:t>
      </w:r>
      <w:r w:rsidR="008308FF" w:rsidRPr="006730E3">
        <w:rPr>
          <w:rFonts w:ascii="Calibri" w:hAnsi="Calibri" w:cs="Times New Roman"/>
          <w:sz w:val="24"/>
          <w:szCs w:val="24"/>
        </w:rPr>
        <w:t xml:space="preserve"> si el régimen económico legal escogido por la LDCG se aplica en la práctica de forma eficaz y con todas s</w:t>
      </w:r>
      <w:r w:rsidR="00B80F40" w:rsidRPr="006730E3">
        <w:rPr>
          <w:rFonts w:ascii="Calibri" w:hAnsi="Calibri" w:cs="Times New Roman"/>
          <w:sz w:val="24"/>
          <w:szCs w:val="24"/>
        </w:rPr>
        <w:t>us consecuencias d</w:t>
      </w:r>
      <w:r w:rsidR="000168C6">
        <w:rPr>
          <w:rFonts w:ascii="Calibri" w:hAnsi="Calibri" w:cs="Times New Roman"/>
          <w:sz w:val="24"/>
          <w:szCs w:val="24"/>
        </w:rPr>
        <w:t xml:space="preserve">e forma que esa libertad de la pareja </w:t>
      </w:r>
      <w:r w:rsidR="00B80F40" w:rsidRPr="006730E3">
        <w:rPr>
          <w:rFonts w:ascii="Calibri" w:hAnsi="Calibri" w:cs="Times New Roman"/>
          <w:sz w:val="24"/>
          <w:szCs w:val="24"/>
        </w:rPr>
        <w:t>quede plenamente satisfecha.</w:t>
      </w:r>
    </w:p>
    <w:p w:rsidR="0046261D" w:rsidRPr="006730E3" w:rsidRDefault="0046261D" w:rsidP="00416B3A">
      <w:pPr>
        <w:spacing w:line="312" w:lineRule="auto"/>
        <w:jc w:val="both"/>
        <w:rPr>
          <w:rFonts w:ascii="Calibri" w:hAnsi="Calibri" w:cs="Times New Roman"/>
          <w:sz w:val="24"/>
          <w:szCs w:val="24"/>
        </w:rPr>
      </w:pPr>
    </w:p>
    <w:p w:rsidR="001262C4" w:rsidRPr="00A81597" w:rsidRDefault="00B80F40" w:rsidP="00416B3A">
      <w:pPr>
        <w:spacing w:line="312" w:lineRule="auto"/>
        <w:jc w:val="both"/>
        <w:rPr>
          <w:rFonts w:ascii="Calibri" w:hAnsi="Calibri" w:cs="Times New Roman"/>
          <w:sz w:val="24"/>
          <w:szCs w:val="24"/>
        </w:rPr>
      </w:pPr>
      <w:r w:rsidRPr="00A81597">
        <w:rPr>
          <w:rFonts w:ascii="Calibri" w:hAnsi="Calibri" w:cs="Times New Roman"/>
          <w:sz w:val="24"/>
          <w:szCs w:val="24"/>
        </w:rPr>
        <w:t>2</w:t>
      </w:r>
      <w:r w:rsidR="00A81597" w:rsidRPr="00A81597">
        <w:rPr>
          <w:rFonts w:ascii="Calibri" w:hAnsi="Calibri" w:cs="Times New Roman"/>
          <w:sz w:val="24"/>
          <w:szCs w:val="24"/>
        </w:rPr>
        <w:t xml:space="preserve">. </w:t>
      </w:r>
      <w:r w:rsidR="00A81597">
        <w:rPr>
          <w:rFonts w:ascii="Calibri" w:hAnsi="Calibri" w:cs="Times New Roman"/>
          <w:smallCaps/>
          <w:sz w:val="24"/>
          <w:szCs w:val="24"/>
        </w:rPr>
        <w:t xml:space="preserve">El </w:t>
      </w:r>
      <w:r w:rsidR="00A81597" w:rsidRPr="00A81597">
        <w:rPr>
          <w:rFonts w:ascii="Calibri" w:hAnsi="Calibri" w:cs="Times New Roman"/>
          <w:smallCaps/>
          <w:sz w:val="24"/>
          <w:szCs w:val="24"/>
        </w:rPr>
        <w:t>régimen económico legal de la pareja inscrita: la sociedad de gananciales</w:t>
      </w:r>
    </w:p>
    <w:p w:rsidR="0098378B" w:rsidRPr="006730E3" w:rsidRDefault="00B10FDD" w:rsidP="00416B3A">
      <w:pPr>
        <w:spacing w:line="312" w:lineRule="auto"/>
        <w:jc w:val="both"/>
        <w:rPr>
          <w:rFonts w:ascii="Calibri" w:hAnsi="Calibri" w:cs="Times New Roman"/>
          <w:sz w:val="24"/>
          <w:szCs w:val="24"/>
        </w:rPr>
      </w:pPr>
      <w:r w:rsidRPr="006730E3">
        <w:rPr>
          <w:rFonts w:ascii="Calibri" w:hAnsi="Calibri" w:cs="Times New Roman"/>
          <w:sz w:val="24"/>
          <w:szCs w:val="24"/>
        </w:rPr>
        <w:t>Sintetizando la</w:t>
      </w:r>
      <w:r w:rsidR="0016509C" w:rsidRPr="006730E3">
        <w:rPr>
          <w:rFonts w:ascii="Calibri" w:hAnsi="Calibri" w:cs="Times New Roman"/>
          <w:sz w:val="24"/>
          <w:szCs w:val="24"/>
        </w:rPr>
        <w:t xml:space="preserve"> letra de la</w:t>
      </w:r>
      <w:r w:rsidRPr="006730E3">
        <w:rPr>
          <w:rFonts w:ascii="Calibri" w:hAnsi="Calibri" w:cs="Times New Roman"/>
          <w:sz w:val="24"/>
          <w:szCs w:val="24"/>
        </w:rPr>
        <w:t xml:space="preserve"> DAT</w:t>
      </w:r>
      <w:r w:rsidRPr="006730E3">
        <w:rPr>
          <w:rStyle w:val="Refdenotaalpie"/>
          <w:rFonts w:ascii="Calibri" w:hAnsi="Calibri" w:cs="Times New Roman"/>
          <w:sz w:val="24"/>
          <w:szCs w:val="24"/>
        </w:rPr>
        <w:footnoteReference w:id="7"/>
      </w:r>
      <w:r w:rsidR="00307329" w:rsidRPr="006730E3">
        <w:rPr>
          <w:rFonts w:ascii="Calibri" w:hAnsi="Calibri" w:cs="Times New Roman"/>
          <w:sz w:val="24"/>
          <w:szCs w:val="24"/>
        </w:rPr>
        <w:t xml:space="preserve">, </w:t>
      </w:r>
      <w:r w:rsidR="000519BA" w:rsidRPr="006730E3">
        <w:rPr>
          <w:rFonts w:ascii="Calibri" w:hAnsi="Calibri" w:cs="Times New Roman"/>
          <w:sz w:val="24"/>
          <w:szCs w:val="24"/>
        </w:rPr>
        <w:t>a los efectos de la aplicación de la LDCG</w:t>
      </w:r>
      <w:r w:rsidRPr="006730E3">
        <w:rPr>
          <w:rFonts w:ascii="Calibri" w:hAnsi="Calibri" w:cs="Times New Roman"/>
          <w:sz w:val="24"/>
          <w:szCs w:val="24"/>
        </w:rPr>
        <w:t>,</w:t>
      </w:r>
      <w:r w:rsidR="00C8429F" w:rsidRPr="006730E3">
        <w:rPr>
          <w:rFonts w:ascii="Calibri" w:hAnsi="Calibri" w:cs="Times New Roman"/>
          <w:sz w:val="24"/>
          <w:szCs w:val="24"/>
        </w:rPr>
        <w:t xml:space="preserve"> los derechos y obligaciones que la misma reconoce a los cónyuges </w:t>
      </w:r>
      <w:r w:rsidR="000519BA" w:rsidRPr="006730E3">
        <w:rPr>
          <w:rFonts w:ascii="Calibri" w:hAnsi="Calibri" w:cs="Times New Roman"/>
          <w:sz w:val="24"/>
          <w:szCs w:val="24"/>
        </w:rPr>
        <w:t>se extienden a los miembros de la pareja que inscriban su unión en el Registro de parejas de hecho de Galicia (en adelante, RPHG)</w:t>
      </w:r>
      <w:r w:rsidRPr="006730E3">
        <w:rPr>
          <w:rFonts w:ascii="Calibri" w:hAnsi="Calibri" w:cs="Times New Roman"/>
          <w:sz w:val="24"/>
          <w:szCs w:val="24"/>
        </w:rPr>
        <w:t xml:space="preserve"> expresando su voluntad de equiparar sus efectos a los del matrimonio. Del mismo modo, </w:t>
      </w:r>
      <w:r w:rsidR="00C8429F" w:rsidRPr="006730E3">
        <w:rPr>
          <w:rFonts w:ascii="Calibri" w:hAnsi="Calibri" w:cs="Times New Roman"/>
          <w:sz w:val="24"/>
          <w:szCs w:val="24"/>
        </w:rPr>
        <w:t>la pareja puede</w:t>
      </w:r>
      <w:r w:rsidRPr="006730E3">
        <w:rPr>
          <w:rFonts w:ascii="Calibri" w:hAnsi="Calibri" w:cs="Times New Roman"/>
          <w:sz w:val="24"/>
          <w:szCs w:val="24"/>
        </w:rPr>
        <w:t xml:space="preserve"> establecer en escritura pública los pactos que estimen convenientes para regir sus relaciones económicas durante la convivencia y para liquidarlas tras su extinción.</w:t>
      </w:r>
    </w:p>
    <w:p w:rsidR="00B10FDD" w:rsidRPr="006730E3" w:rsidRDefault="00272854" w:rsidP="00416B3A">
      <w:pPr>
        <w:spacing w:line="312" w:lineRule="auto"/>
        <w:jc w:val="both"/>
        <w:rPr>
          <w:rFonts w:ascii="Calibri" w:hAnsi="Calibri" w:cs="Times New Roman"/>
          <w:sz w:val="24"/>
          <w:szCs w:val="24"/>
        </w:rPr>
      </w:pPr>
      <w:r w:rsidRPr="006730E3">
        <w:rPr>
          <w:rFonts w:ascii="Calibri" w:hAnsi="Calibri" w:cs="Times New Roman"/>
          <w:sz w:val="24"/>
          <w:szCs w:val="24"/>
        </w:rPr>
        <w:t>Si bien la LDCG contempla</w:t>
      </w:r>
      <w:r w:rsidR="00162511" w:rsidRPr="006730E3">
        <w:rPr>
          <w:rFonts w:ascii="Calibri" w:hAnsi="Calibri" w:cs="Times New Roman"/>
          <w:sz w:val="24"/>
          <w:szCs w:val="24"/>
        </w:rPr>
        <w:t xml:space="preserve"> distintas</w:t>
      </w:r>
      <w:r w:rsidR="00C8429F" w:rsidRPr="006730E3">
        <w:rPr>
          <w:rFonts w:ascii="Calibri" w:hAnsi="Calibri" w:cs="Times New Roman"/>
          <w:sz w:val="24"/>
          <w:szCs w:val="24"/>
        </w:rPr>
        <w:t xml:space="preserve"> previsiones</w:t>
      </w:r>
      <w:r w:rsidR="00162511" w:rsidRPr="006730E3">
        <w:rPr>
          <w:rFonts w:ascii="Calibri" w:hAnsi="Calibri" w:cs="Times New Roman"/>
          <w:sz w:val="24"/>
          <w:szCs w:val="24"/>
        </w:rPr>
        <w:t xml:space="preserve"> </w:t>
      </w:r>
      <w:r w:rsidR="002A26E5" w:rsidRPr="006730E3">
        <w:rPr>
          <w:rFonts w:ascii="Calibri" w:hAnsi="Calibri" w:cs="Times New Roman"/>
          <w:sz w:val="24"/>
          <w:szCs w:val="24"/>
        </w:rPr>
        <w:t>relativas</w:t>
      </w:r>
      <w:r w:rsidR="00162511" w:rsidRPr="006730E3">
        <w:rPr>
          <w:rFonts w:ascii="Calibri" w:hAnsi="Calibri" w:cs="Times New Roman"/>
          <w:sz w:val="24"/>
          <w:szCs w:val="24"/>
        </w:rPr>
        <w:t xml:space="preserve"> al matrimonio, nuestro interés se centra en </w:t>
      </w:r>
      <w:r w:rsidR="002A26E5" w:rsidRPr="006730E3">
        <w:rPr>
          <w:rFonts w:ascii="Calibri" w:hAnsi="Calibri" w:cs="Times New Roman"/>
          <w:sz w:val="24"/>
          <w:szCs w:val="24"/>
        </w:rPr>
        <w:t>su</w:t>
      </w:r>
      <w:r w:rsidR="00162511" w:rsidRPr="006730E3">
        <w:rPr>
          <w:rFonts w:ascii="Calibri" w:hAnsi="Calibri" w:cs="Times New Roman"/>
          <w:sz w:val="24"/>
          <w:szCs w:val="24"/>
        </w:rPr>
        <w:t xml:space="preserve"> art. 171, según el cual «el régimen económico matrimonial será el convenido por los cónyuges en capitulaciones matrimoniales. En defecto de convenio o ineficacia del mismo, el régimen será la sociedad de gananciales».</w:t>
      </w:r>
    </w:p>
    <w:p w:rsidR="003D3AFE" w:rsidRPr="006730E3" w:rsidRDefault="009E08B9" w:rsidP="00416B3A">
      <w:pPr>
        <w:spacing w:line="312" w:lineRule="auto"/>
        <w:jc w:val="both"/>
        <w:rPr>
          <w:rFonts w:ascii="Calibri" w:hAnsi="Calibri" w:cs="Times New Roman"/>
          <w:sz w:val="24"/>
          <w:szCs w:val="24"/>
        </w:rPr>
      </w:pPr>
      <w:r w:rsidRPr="006730E3">
        <w:rPr>
          <w:rFonts w:ascii="Calibri" w:hAnsi="Calibri" w:cs="Times New Roman"/>
          <w:sz w:val="24"/>
          <w:szCs w:val="24"/>
        </w:rPr>
        <w:t>Una lectura conjunta de ambas previsiones conduce, según se ha dicho, a la «elemental aplicación»</w:t>
      </w:r>
      <w:r w:rsidR="009D4D07" w:rsidRPr="006730E3">
        <w:rPr>
          <w:rStyle w:val="Refdenotaalpie"/>
          <w:rFonts w:ascii="Calibri" w:hAnsi="Calibri" w:cs="Times New Roman"/>
          <w:sz w:val="24"/>
          <w:szCs w:val="24"/>
        </w:rPr>
        <w:footnoteReference w:id="8"/>
      </w:r>
      <w:r w:rsidRPr="006730E3">
        <w:rPr>
          <w:rFonts w:ascii="Calibri" w:hAnsi="Calibri" w:cs="Times New Roman"/>
          <w:sz w:val="24"/>
          <w:szCs w:val="24"/>
        </w:rPr>
        <w:t xml:space="preserve"> del régimen de </w:t>
      </w:r>
      <w:r w:rsidR="00067AD1" w:rsidRPr="006730E3">
        <w:rPr>
          <w:rFonts w:ascii="Calibri" w:hAnsi="Calibri" w:cs="Times New Roman"/>
          <w:sz w:val="24"/>
          <w:szCs w:val="24"/>
        </w:rPr>
        <w:t xml:space="preserve">la </w:t>
      </w:r>
      <w:r w:rsidRPr="006730E3">
        <w:rPr>
          <w:rFonts w:ascii="Calibri" w:hAnsi="Calibri" w:cs="Times New Roman"/>
          <w:sz w:val="24"/>
          <w:szCs w:val="24"/>
        </w:rPr>
        <w:t>sociedad de ganancia</w:t>
      </w:r>
      <w:r w:rsidR="00F05B37" w:rsidRPr="006730E3">
        <w:rPr>
          <w:rFonts w:ascii="Calibri" w:hAnsi="Calibri" w:cs="Times New Roman"/>
          <w:sz w:val="24"/>
          <w:szCs w:val="24"/>
        </w:rPr>
        <w:t>les a los convivientes que reúna</w:t>
      </w:r>
      <w:r w:rsidRPr="006730E3">
        <w:rPr>
          <w:rFonts w:ascii="Calibri" w:hAnsi="Calibri" w:cs="Times New Roman"/>
          <w:sz w:val="24"/>
          <w:szCs w:val="24"/>
        </w:rPr>
        <w:t>n los requisitos de la DAT y que no</w:t>
      </w:r>
      <w:r w:rsidR="004226ED" w:rsidRPr="006730E3">
        <w:rPr>
          <w:rFonts w:ascii="Calibri" w:hAnsi="Calibri" w:cs="Times New Roman"/>
          <w:sz w:val="24"/>
          <w:szCs w:val="24"/>
        </w:rPr>
        <w:t xml:space="preserve"> hayan establecido pactos relativos a sus relaciones económicas; incluso h</w:t>
      </w:r>
      <w:r w:rsidR="0061727C" w:rsidRPr="006730E3">
        <w:rPr>
          <w:rFonts w:ascii="Calibri" w:hAnsi="Calibri" w:cs="Times New Roman"/>
          <w:sz w:val="24"/>
          <w:szCs w:val="24"/>
        </w:rPr>
        <w:t xml:space="preserve">ay quienes ni siquiera aluden a la existencia de una </w:t>
      </w:r>
      <w:r w:rsidR="00F05B37" w:rsidRPr="006730E3">
        <w:rPr>
          <w:rFonts w:ascii="Calibri" w:hAnsi="Calibri" w:cs="Times New Roman"/>
          <w:sz w:val="24"/>
          <w:szCs w:val="24"/>
        </w:rPr>
        <w:t>distinta lectura</w:t>
      </w:r>
      <w:r w:rsidR="0061727C" w:rsidRPr="006730E3">
        <w:rPr>
          <w:rFonts w:ascii="Calibri" w:hAnsi="Calibri" w:cs="Times New Roman"/>
          <w:sz w:val="24"/>
          <w:szCs w:val="24"/>
        </w:rPr>
        <w:t xml:space="preserve"> </w:t>
      </w:r>
      <w:r w:rsidR="0014512B" w:rsidRPr="006730E3">
        <w:rPr>
          <w:rFonts w:ascii="Calibri" w:hAnsi="Calibri" w:cs="Times New Roman"/>
          <w:sz w:val="24"/>
          <w:szCs w:val="24"/>
        </w:rPr>
        <w:t>de la DAT</w:t>
      </w:r>
      <w:r w:rsidR="0061727C" w:rsidRPr="006730E3">
        <w:rPr>
          <w:rStyle w:val="Refdenotaalpie"/>
          <w:rFonts w:ascii="Calibri" w:hAnsi="Calibri" w:cs="Times New Roman"/>
          <w:sz w:val="24"/>
          <w:szCs w:val="24"/>
        </w:rPr>
        <w:footnoteReference w:id="9"/>
      </w:r>
      <w:r w:rsidR="0061727C" w:rsidRPr="006730E3">
        <w:rPr>
          <w:rFonts w:ascii="Calibri" w:hAnsi="Calibri" w:cs="Times New Roman"/>
          <w:sz w:val="24"/>
          <w:szCs w:val="24"/>
        </w:rPr>
        <w:t>.</w:t>
      </w:r>
      <w:r w:rsidR="003D3AFE" w:rsidRPr="006730E3">
        <w:rPr>
          <w:rFonts w:ascii="Calibri" w:hAnsi="Calibri" w:cs="Times New Roman"/>
          <w:sz w:val="24"/>
          <w:szCs w:val="24"/>
        </w:rPr>
        <w:t xml:space="preserve"> La cuestión, empero, no es tan evidente e incontrovertida para algunos y se ha entablado una discusión que enfrenta no ya a distintos sectores </w:t>
      </w:r>
      <w:r w:rsidR="009A5C2B" w:rsidRPr="006730E3">
        <w:rPr>
          <w:rFonts w:ascii="Calibri" w:hAnsi="Calibri" w:cs="Times New Roman"/>
          <w:sz w:val="24"/>
          <w:szCs w:val="24"/>
        </w:rPr>
        <w:t>doctrinales</w:t>
      </w:r>
      <w:r w:rsidR="003D3AFE" w:rsidRPr="006730E3">
        <w:rPr>
          <w:rFonts w:ascii="Calibri" w:hAnsi="Calibri" w:cs="Times New Roman"/>
          <w:sz w:val="24"/>
          <w:szCs w:val="24"/>
        </w:rPr>
        <w:t xml:space="preserve">, sino al ámbito </w:t>
      </w:r>
      <w:r w:rsidR="003D3AFE" w:rsidRPr="006730E3">
        <w:rPr>
          <w:rFonts w:ascii="Calibri" w:hAnsi="Calibri" w:cs="Times New Roman"/>
          <w:sz w:val="24"/>
          <w:szCs w:val="24"/>
        </w:rPr>
        <w:lastRenderedPageBreak/>
        <w:t>acad</w:t>
      </w:r>
      <w:r w:rsidR="0016509C" w:rsidRPr="006730E3">
        <w:rPr>
          <w:rFonts w:ascii="Calibri" w:hAnsi="Calibri" w:cs="Times New Roman"/>
          <w:sz w:val="24"/>
          <w:szCs w:val="24"/>
        </w:rPr>
        <w:t xml:space="preserve">émico y </w:t>
      </w:r>
      <w:r w:rsidR="003D3AFE" w:rsidRPr="006730E3">
        <w:rPr>
          <w:rFonts w:ascii="Calibri" w:hAnsi="Calibri" w:cs="Times New Roman"/>
          <w:sz w:val="24"/>
          <w:szCs w:val="24"/>
        </w:rPr>
        <w:t>los operadores jurídicos (principalmente notarios y registradores)</w:t>
      </w:r>
      <w:r w:rsidR="009222C8" w:rsidRPr="006730E3">
        <w:rPr>
          <w:rFonts w:ascii="Calibri" w:hAnsi="Calibri" w:cs="Times New Roman"/>
          <w:sz w:val="24"/>
          <w:szCs w:val="24"/>
        </w:rPr>
        <w:t>, si bien existe</w:t>
      </w:r>
      <w:r w:rsidR="003D3AFE" w:rsidRPr="006730E3">
        <w:rPr>
          <w:rFonts w:ascii="Calibri" w:hAnsi="Calibri" w:cs="Times New Roman"/>
          <w:sz w:val="24"/>
          <w:szCs w:val="24"/>
        </w:rPr>
        <w:t xml:space="preserve"> alguna excepción</w:t>
      </w:r>
      <w:r w:rsidR="009222C8" w:rsidRPr="006730E3">
        <w:rPr>
          <w:rFonts w:ascii="Calibri" w:hAnsi="Calibri" w:cs="Times New Roman"/>
          <w:sz w:val="24"/>
          <w:szCs w:val="24"/>
        </w:rPr>
        <w:t xml:space="preserve"> en ambas filas</w:t>
      </w:r>
      <w:r w:rsidR="003D3AFE" w:rsidRPr="006730E3">
        <w:rPr>
          <w:rFonts w:ascii="Calibri" w:hAnsi="Calibri" w:cs="Times New Roman"/>
          <w:sz w:val="24"/>
          <w:szCs w:val="24"/>
        </w:rPr>
        <w:t>.</w:t>
      </w:r>
    </w:p>
    <w:p w:rsidR="00D67D92" w:rsidRPr="006730E3" w:rsidRDefault="00D67D92" w:rsidP="00416B3A">
      <w:pPr>
        <w:spacing w:line="312" w:lineRule="auto"/>
        <w:jc w:val="both"/>
        <w:rPr>
          <w:rFonts w:ascii="Calibri" w:hAnsi="Calibri" w:cs="Times New Roman"/>
          <w:sz w:val="24"/>
          <w:szCs w:val="24"/>
        </w:rPr>
      </w:pPr>
    </w:p>
    <w:p w:rsidR="00214170" w:rsidRPr="00A81597" w:rsidRDefault="00686588" w:rsidP="00416B3A">
      <w:pPr>
        <w:spacing w:line="312" w:lineRule="auto"/>
        <w:jc w:val="both"/>
        <w:rPr>
          <w:rFonts w:ascii="Calibri" w:hAnsi="Calibri" w:cs="Times New Roman"/>
          <w:i/>
          <w:sz w:val="24"/>
          <w:szCs w:val="24"/>
        </w:rPr>
      </w:pPr>
      <w:r w:rsidRPr="00A81597">
        <w:rPr>
          <w:rFonts w:ascii="Calibri" w:hAnsi="Calibri" w:cs="Times New Roman"/>
          <w:sz w:val="24"/>
          <w:szCs w:val="24"/>
        </w:rPr>
        <w:t xml:space="preserve">1.1. </w:t>
      </w:r>
      <w:r w:rsidR="00214170" w:rsidRPr="00A81597">
        <w:rPr>
          <w:rFonts w:ascii="Calibri" w:hAnsi="Calibri" w:cs="Times New Roman"/>
          <w:i/>
          <w:sz w:val="24"/>
          <w:szCs w:val="24"/>
        </w:rPr>
        <w:t>Debate entre el ámbito académico y los profesionales prácticos</w:t>
      </w:r>
    </w:p>
    <w:p w:rsidR="00904AF9" w:rsidRPr="006730E3" w:rsidRDefault="009222C8" w:rsidP="00416B3A">
      <w:pPr>
        <w:spacing w:line="312" w:lineRule="auto"/>
        <w:jc w:val="both"/>
        <w:rPr>
          <w:rFonts w:ascii="Calibri" w:hAnsi="Calibri" w:cs="Times New Roman"/>
          <w:sz w:val="24"/>
          <w:szCs w:val="24"/>
        </w:rPr>
      </w:pPr>
      <w:r w:rsidRPr="006730E3">
        <w:rPr>
          <w:rFonts w:ascii="Calibri" w:hAnsi="Calibri" w:cs="Times New Roman"/>
          <w:sz w:val="24"/>
          <w:szCs w:val="24"/>
        </w:rPr>
        <w:t>Como acabamos de señalar, la posición doctrinal mayoritaria sostiene que, en defecto de pacto, a la pareja inscrita en el RPHG</w:t>
      </w:r>
      <w:r w:rsidR="00C061B6" w:rsidRPr="006730E3">
        <w:rPr>
          <w:rFonts w:ascii="Calibri" w:hAnsi="Calibri" w:cs="Times New Roman"/>
          <w:sz w:val="24"/>
          <w:szCs w:val="24"/>
        </w:rPr>
        <w:t xml:space="preserve"> (es decir, el registro</w:t>
      </w:r>
      <w:r w:rsidR="000229A3" w:rsidRPr="006730E3">
        <w:rPr>
          <w:rFonts w:ascii="Calibri" w:hAnsi="Calibri" w:cs="Times New Roman"/>
          <w:sz w:val="24"/>
          <w:szCs w:val="24"/>
        </w:rPr>
        <w:t xml:space="preserve"> único</w:t>
      </w:r>
      <w:r w:rsidR="00C061B6" w:rsidRPr="006730E3">
        <w:rPr>
          <w:rFonts w:ascii="Calibri" w:hAnsi="Calibri" w:cs="Times New Roman"/>
          <w:sz w:val="24"/>
          <w:szCs w:val="24"/>
        </w:rPr>
        <w:t xml:space="preserve"> creado </w:t>
      </w:r>
      <w:r w:rsidR="00C061B6" w:rsidRPr="006730E3">
        <w:rPr>
          <w:rFonts w:ascii="Calibri" w:hAnsi="Calibri" w:cs="Times New Roman"/>
          <w:i/>
          <w:sz w:val="24"/>
          <w:szCs w:val="24"/>
        </w:rPr>
        <w:t>ex profeso</w:t>
      </w:r>
      <w:r w:rsidR="00C061B6" w:rsidRPr="006730E3">
        <w:rPr>
          <w:rFonts w:ascii="Calibri" w:hAnsi="Calibri" w:cs="Times New Roman"/>
          <w:sz w:val="24"/>
          <w:szCs w:val="24"/>
        </w:rPr>
        <w:t xml:space="preserve"> para el funcionamiento de la DAT y no cualquier otro registro, como los municipales</w:t>
      </w:r>
      <w:r w:rsidR="00C061B6" w:rsidRPr="006730E3">
        <w:rPr>
          <w:rStyle w:val="Refdenotaalpie"/>
          <w:rFonts w:ascii="Calibri" w:hAnsi="Calibri" w:cs="Times New Roman"/>
          <w:sz w:val="24"/>
          <w:szCs w:val="24"/>
        </w:rPr>
        <w:footnoteReference w:id="10"/>
      </w:r>
      <w:r w:rsidR="00C061B6" w:rsidRPr="006730E3">
        <w:rPr>
          <w:rFonts w:ascii="Calibri" w:hAnsi="Calibri" w:cs="Times New Roman"/>
          <w:sz w:val="24"/>
          <w:szCs w:val="24"/>
        </w:rPr>
        <w:t>)</w:t>
      </w:r>
      <w:r w:rsidRPr="006730E3">
        <w:rPr>
          <w:rFonts w:ascii="Calibri" w:hAnsi="Calibri" w:cs="Times New Roman"/>
          <w:sz w:val="24"/>
          <w:szCs w:val="24"/>
        </w:rPr>
        <w:t xml:space="preserve"> y que haya manifestado su voluntad de equipararse al matrimonio se le aplica el régimen de sociedad de gananciales</w:t>
      </w:r>
      <w:r w:rsidR="002A79E2" w:rsidRPr="006730E3">
        <w:rPr>
          <w:rStyle w:val="Refdenotaalpie"/>
          <w:rFonts w:ascii="Calibri" w:hAnsi="Calibri" w:cs="Times New Roman"/>
          <w:sz w:val="24"/>
          <w:szCs w:val="24"/>
        </w:rPr>
        <w:footnoteReference w:id="11"/>
      </w:r>
      <w:r w:rsidRPr="006730E3">
        <w:rPr>
          <w:rFonts w:ascii="Calibri" w:hAnsi="Calibri" w:cs="Times New Roman"/>
          <w:sz w:val="24"/>
          <w:szCs w:val="24"/>
        </w:rPr>
        <w:t>.</w:t>
      </w:r>
      <w:r w:rsidR="0016509C" w:rsidRPr="006730E3">
        <w:rPr>
          <w:rFonts w:ascii="Calibri" w:hAnsi="Calibri" w:cs="Times New Roman"/>
          <w:sz w:val="24"/>
          <w:szCs w:val="24"/>
        </w:rPr>
        <w:t xml:space="preserve"> </w:t>
      </w:r>
      <w:r w:rsidR="003340DF" w:rsidRPr="006730E3">
        <w:rPr>
          <w:rFonts w:ascii="Calibri" w:hAnsi="Calibri" w:cs="Times New Roman"/>
          <w:sz w:val="24"/>
          <w:szCs w:val="24"/>
        </w:rPr>
        <w:t xml:space="preserve">En este sentido se ha pronunciado siempre </w:t>
      </w:r>
      <w:r w:rsidR="003340DF" w:rsidRPr="005E241D">
        <w:rPr>
          <w:rFonts w:ascii="Calibri" w:hAnsi="Calibri" w:cs="Times New Roman"/>
          <w:sz w:val="24"/>
          <w:szCs w:val="24"/>
        </w:rPr>
        <w:t>García Rubio</w:t>
      </w:r>
      <w:r w:rsidR="003340DF" w:rsidRPr="006730E3">
        <w:rPr>
          <w:rFonts w:ascii="Calibri" w:hAnsi="Calibri" w:cs="Times New Roman"/>
          <w:sz w:val="24"/>
          <w:szCs w:val="24"/>
        </w:rPr>
        <w:t>, tanto antes de la reforma</w:t>
      </w:r>
      <w:r w:rsidR="003340DF" w:rsidRPr="006730E3">
        <w:rPr>
          <w:rStyle w:val="Refdenotaalpie"/>
          <w:rFonts w:ascii="Calibri" w:hAnsi="Calibri" w:cs="Times New Roman"/>
          <w:sz w:val="24"/>
          <w:szCs w:val="24"/>
        </w:rPr>
        <w:footnoteReference w:id="12"/>
      </w:r>
      <w:r w:rsidR="003340DF" w:rsidRPr="006730E3">
        <w:rPr>
          <w:rFonts w:ascii="Calibri" w:hAnsi="Calibri" w:cs="Times New Roman"/>
          <w:sz w:val="24"/>
          <w:szCs w:val="24"/>
        </w:rPr>
        <w:t xml:space="preserve"> como después, conforme a la «doble remisión» que operan la DAT y el art. 171 LDCG</w:t>
      </w:r>
      <w:r w:rsidR="003340DF" w:rsidRPr="006730E3">
        <w:rPr>
          <w:rStyle w:val="Refdenotaalpie"/>
          <w:rFonts w:ascii="Calibri" w:hAnsi="Calibri" w:cs="Times New Roman"/>
          <w:sz w:val="24"/>
          <w:szCs w:val="24"/>
        </w:rPr>
        <w:footnoteReference w:id="13"/>
      </w:r>
      <w:r w:rsidR="00646D4F" w:rsidRPr="006730E3">
        <w:rPr>
          <w:rFonts w:ascii="Calibri" w:hAnsi="Calibri" w:cs="Times New Roman"/>
          <w:sz w:val="24"/>
          <w:szCs w:val="24"/>
        </w:rPr>
        <w:t>. En efecto, se debe hablar de remisión o reenvío y no de supletoriedad. Recordemos</w:t>
      </w:r>
      <w:r w:rsidR="005376DF" w:rsidRPr="006730E3">
        <w:rPr>
          <w:rFonts w:ascii="Calibri" w:hAnsi="Calibri" w:cs="Times New Roman"/>
          <w:sz w:val="24"/>
          <w:szCs w:val="24"/>
        </w:rPr>
        <w:t>, siguiendo a la mencionada autora, que la aplicación de un</w:t>
      </w:r>
      <w:r w:rsidR="00646D4F" w:rsidRPr="006730E3">
        <w:rPr>
          <w:rFonts w:ascii="Calibri" w:hAnsi="Calibri" w:cs="Times New Roman"/>
          <w:sz w:val="24"/>
          <w:szCs w:val="24"/>
        </w:rPr>
        <w:t xml:space="preserve"> derecho supletorio</w:t>
      </w:r>
      <w:r w:rsidR="005376DF" w:rsidRPr="006730E3">
        <w:rPr>
          <w:rFonts w:ascii="Calibri" w:hAnsi="Calibri" w:cs="Times New Roman"/>
          <w:sz w:val="24"/>
          <w:szCs w:val="24"/>
        </w:rPr>
        <w:t xml:space="preserve"> corresponde a una situación </w:t>
      </w:r>
      <w:r w:rsidR="008524F8" w:rsidRPr="006730E3">
        <w:rPr>
          <w:rFonts w:ascii="Calibri" w:hAnsi="Calibri" w:cs="Times New Roman"/>
          <w:sz w:val="24"/>
          <w:szCs w:val="24"/>
        </w:rPr>
        <w:t>hasta cierto punto</w:t>
      </w:r>
      <w:r w:rsidR="005376DF" w:rsidRPr="006730E3">
        <w:rPr>
          <w:rFonts w:ascii="Calibri" w:hAnsi="Calibri" w:cs="Times New Roman"/>
          <w:sz w:val="24"/>
          <w:szCs w:val="24"/>
        </w:rPr>
        <w:t xml:space="preserve"> provisional;</w:t>
      </w:r>
      <w:r w:rsidR="00646D4F" w:rsidRPr="006730E3">
        <w:rPr>
          <w:rFonts w:ascii="Calibri" w:hAnsi="Calibri" w:cs="Times New Roman"/>
          <w:sz w:val="24"/>
          <w:szCs w:val="24"/>
        </w:rPr>
        <w:t xml:space="preserve"> una laguna en el derecho autonómico que </w:t>
      </w:r>
      <w:r w:rsidR="008524F8" w:rsidRPr="006730E3">
        <w:rPr>
          <w:rFonts w:ascii="Calibri" w:hAnsi="Calibri" w:cs="Times New Roman"/>
          <w:sz w:val="24"/>
          <w:szCs w:val="24"/>
        </w:rPr>
        <w:t>cabe</w:t>
      </w:r>
      <w:r w:rsidR="00646D4F" w:rsidRPr="006730E3">
        <w:rPr>
          <w:rFonts w:ascii="Calibri" w:hAnsi="Calibri" w:cs="Times New Roman"/>
          <w:sz w:val="24"/>
          <w:szCs w:val="24"/>
        </w:rPr>
        <w:t xml:space="preserve"> evitar legislando </w:t>
      </w:r>
      <w:r w:rsidR="005376DF" w:rsidRPr="006730E3">
        <w:rPr>
          <w:rFonts w:ascii="Calibri" w:hAnsi="Calibri" w:cs="Times New Roman"/>
          <w:sz w:val="24"/>
          <w:szCs w:val="24"/>
        </w:rPr>
        <w:t xml:space="preserve">bien </w:t>
      </w:r>
      <w:r w:rsidR="00646D4F" w:rsidRPr="006730E3">
        <w:rPr>
          <w:rFonts w:ascii="Calibri" w:hAnsi="Calibri" w:cs="Times New Roman"/>
          <w:sz w:val="24"/>
          <w:szCs w:val="24"/>
        </w:rPr>
        <w:t>directamente sobre una determinada cuestión, bien</w:t>
      </w:r>
      <w:r w:rsidR="005376DF" w:rsidRPr="006730E3">
        <w:rPr>
          <w:rFonts w:ascii="Calibri" w:hAnsi="Calibri" w:cs="Times New Roman"/>
          <w:sz w:val="24"/>
          <w:szCs w:val="24"/>
        </w:rPr>
        <w:t xml:space="preserve"> mediante la técnica de</w:t>
      </w:r>
      <w:r w:rsidR="0014265A" w:rsidRPr="006730E3">
        <w:rPr>
          <w:rFonts w:ascii="Calibri" w:hAnsi="Calibri" w:cs="Times New Roman"/>
          <w:sz w:val="24"/>
          <w:szCs w:val="24"/>
        </w:rPr>
        <w:t>l</w:t>
      </w:r>
      <w:r w:rsidR="005376DF" w:rsidRPr="006730E3">
        <w:rPr>
          <w:rFonts w:ascii="Calibri" w:hAnsi="Calibri" w:cs="Times New Roman"/>
          <w:sz w:val="24"/>
          <w:szCs w:val="24"/>
        </w:rPr>
        <w:t xml:space="preserve"> </w:t>
      </w:r>
      <w:r w:rsidR="0014265A" w:rsidRPr="006730E3">
        <w:rPr>
          <w:rFonts w:ascii="Calibri" w:hAnsi="Calibri" w:cs="Times New Roman"/>
          <w:sz w:val="24"/>
          <w:szCs w:val="24"/>
        </w:rPr>
        <w:t>reenvío</w:t>
      </w:r>
      <w:r w:rsidR="005376DF" w:rsidRPr="006730E3">
        <w:rPr>
          <w:rFonts w:ascii="Calibri" w:hAnsi="Calibri" w:cs="Times New Roman"/>
          <w:sz w:val="24"/>
          <w:szCs w:val="24"/>
        </w:rPr>
        <w:t xml:space="preserve">. </w:t>
      </w:r>
      <w:r w:rsidR="008524F8" w:rsidRPr="006730E3">
        <w:rPr>
          <w:rFonts w:ascii="Calibri" w:hAnsi="Calibri" w:cs="Times New Roman"/>
          <w:sz w:val="24"/>
          <w:szCs w:val="24"/>
        </w:rPr>
        <w:t>De esta forma, mientras el derecho estatal, como supletorio, nunca pasa a ser derecho autonómico, la regulación objeto de la remisión sí se integra en la norma que realiza el reenvío y, por tanto, pasa a ser derecho autonómico bien de forma estática</w:t>
      </w:r>
      <w:r w:rsidR="006C75F5" w:rsidRPr="006730E3">
        <w:rPr>
          <w:rFonts w:ascii="Calibri" w:hAnsi="Calibri" w:cs="Times New Roman"/>
          <w:sz w:val="24"/>
          <w:szCs w:val="24"/>
        </w:rPr>
        <w:t xml:space="preserve">, </w:t>
      </w:r>
      <w:r w:rsidR="008524F8" w:rsidRPr="006730E3">
        <w:rPr>
          <w:rFonts w:ascii="Calibri" w:hAnsi="Calibri" w:cs="Times New Roman"/>
          <w:sz w:val="24"/>
          <w:szCs w:val="24"/>
        </w:rPr>
        <w:t>sólo en la versión que dicha regulación tiene en el momento de la remisión, bien de forma dinámica</w:t>
      </w:r>
      <w:r w:rsidR="006C75F5" w:rsidRPr="006730E3">
        <w:rPr>
          <w:rFonts w:ascii="Calibri" w:hAnsi="Calibri" w:cs="Times New Roman"/>
          <w:sz w:val="24"/>
          <w:szCs w:val="24"/>
        </w:rPr>
        <w:t xml:space="preserve">, </w:t>
      </w:r>
      <w:r w:rsidR="008524F8" w:rsidRPr="006730E3">
        <w:rPr>
          <w:rFonts w:ascii="Calibri" w:hAnsi="Calibri" w:cs="Times New Roman"/>
          <w:sz w:val="24"/>
          <w:szCs w:val="24"/>
        </w:rPr>
        <w:t>asumiéndose las posibles modificaciones que afecten a la regulación remitida</w:t>
      </w:r>
      <w:r w:rsidR="008524F8" w:rsidRPr="006730E3">
        <w:rPr>
          <w:rStyle w:val="Refdenotaalpie"/>
          <w:rFonts w:ascii="Calibri" w:hAnsi="Calibri" w:cs="Times New Roman"/>
          <w:sz w:val="24"/>
          <w:szCs w:val="24"/>
        </w:rPr>
        <w:footnoteReference w:id="14"/>
      </w:r>
      <w:r w:rsidR="008524F8" w:rsidRPr="006730E3">
        <w:rPr>
          <w:rFonts w:ascii="Calibri" w:hAnsi="Calibri" w:cs="Times New Roman"/>
          <w:sz w:val="24"/>
          <w:szCs w:val="24"/>
        </w:rPr>
        <w:t xml:space="preserve">. </w:t>
      </w:r>
    </w:p>
    <w:p w:rsidR="003718EB" w:rsidRPr="006730E3" w:rsidRDefault="006C75F5" w:rsidP="00416B3A">
      <w:pPr>
        <w:spacing w:line="312" w:lineRule="auto"/>
        <w:jc w:val="both"/>
        <w:rPr>
          <w:rFonts w:ascii="Calibri" w:hAnsi="Calibri" w:cs="Times New Roman"/>
          <w:sz w:val="24"/>
          <w:szCs w:val="24"/>
        </w:rPr>
      </w:pPr>
      <w:r w:rsidRPr="006730E3">
        <w:rPr>
          <w:rFonts w:ascii="Calibri" w:hAnsi="Calibri" w:cs="Times New Roman"/>
          <w:sz w:val="24"/>
          <w:szCs w:val="24"/>
        </w:rPr>
        <w:t>Conforme a estas consideraciones</w:t>
      </w:r>
      <w:r w:rsidR="00FB70C7" w:rsidRPr="006730E3">
        <w:rPr>
          <w:rFonts w:ascii="Calibri" w:hAnsi="Calibri" w:cs="Times New Roman"/>
          <w:sz w:val="24"/>
          <w:szCs w:val="24"/>
        </w:rPr>
        <w:t>,</w:t>
      </w:r>
      <w:r w:rsidR="00EE2F3F" w:rsidRPr="006730E3">
        <w:rPr>
          <w:rFonts w:ascii="Calibri" w:hAnsi="Calibri" w:cs="Times New Roman"/>
          <w:sz w:val="24"/>
          <w:szCs w:val="24"/>
        </w:rPr>
        <w:t xml:space="preserve"> la aplicación del </w:t>
      </w:r>
      <w:r w:rsidR="00802518" w:rsidRPr="006730E3">
        <w:rPr>
          <w:rFonts w:ascii="Calibri" w:hAnsi="Calibri" w:cs="Times New Roman"/>
          <w:sz w:val="24"/>
          <w:szCs w:val="24"/>
        </w:rPr>
        <w:t xml:space="preserve">régimen de sociedad de gananciales no depende de </w:t>
      </w:r>
      <w:r w:rsidR="0014512B" w:rsidRPr="006730E3">
        <w:rPr>
          <w:rFonts w:ascii="Calibri" w:hAnsi="Calibri" w:cs="Times New Roman"/>
          <w:sz w:val="24"/>
          <w:szCs w:val="24"/>
        </w:rPr>
        <w:t>la cláusula de supletoriedad recogida en el art. 1.3 LDCG</w:t>
      </w:r>
      <w:r w:rsidR="0014512B" w:rsidRPr="006730E3">
        <w:rPr>
          <w:rStyle w:val="Refdenotaalpie"/>
          <w:rFonts w:ascii="Calibri" w:hAnsi="Calibri" w:cs="Times New Roman"/>
          <w:sz w:val="24"/>
          <w:szCs w:val="24"/>
        </w:rPr>
        <w:footnoteReference w:id="15"/>
      </w:r>
      <w:r w:rsidR="00FB70C7" w:rsidRPr="006730E3">
        <w:rPr>
          <w:rFonts w:ascii="Calibri" w:hAnsi="Calibri" w:cs="Times New Roman"/>
          <w:sz w:val="24"/>
          <w:szCs w:val="24"/>
        </w:rPr>
        <w:t>;</w:t>
      </w:r>
      <w:r w:rsidR="00E9290D" w:rsidRPr="006730E3">
        <w:rPr>
          <w:rFonts w:ascii="Calibri" w:hAnsi="Calibri" w:cs="Times New Roman"/>
          <w:sz w:val="24"/>
          <w:szCs w:val="24"/>
        </w:rPr>
        <w:t xml:space="preserve"> supletoriedad cuyo verdadero fundamento se encontraría en el art. 149.3</w:t>
      </w:r>
      <w:r w:rsidR="00157D2F" w:rsidRPr="006730E3">
        <w:rPr>
          <w:rFonts w:ascii="Calibri" w:hAnsi="Calibri" w:cs="Times New Roman"/>
          <w:sz w:val="24"/>
          <w:szCs w:val="24"/>
        </w:rPr>
        <w:t xml:space="preserve"> </w:t>
      </w:r>
      <w:r w:rsidR="00157D2F" w:rsidRPr="006730E3">
        <w:rPr>
          <w:rFonts w:ascii="Calibri" w:hAnsi="Calibri" w:cs="Times New Roman"/>
          <w:i/>
          <w:sz w:val="24"/>
          <w:szCs w:val="24"/>
        </w:rPr>
        <w:t>in fine</w:t>
      </w:r>
      <w:r w:rsidR="00157D2F" w:rsidRPr="006730E3">
        <w:rPr>
          <w:rFonts w:ascii="Calibri" w:hAnsi="Calibri" w:cs="Times New Roman"/>
          <w:sz w:val="24"/>
          <w:szCs w:val="24"/>
        </w:rPr>
        <w:t xml:space="preserve"> </w:t>
      </w:r>
      <w:r w:rsidR="00550CE6" w:rsidRPr="006730E3">
        <w:rPr>
          <w:rFonts w:ascii="Calibri" w:hAnsi="Calibri" w:cs="Times New Roman"/>
          <w:sz w:val="24"/>
          <w:szCs w:val="24"/>
        </w:rPr>
        <w:t>CE</w:t>
      </w:r>
      <w:r w:rsidR="00E9290D" w:rsidRPr="006730E3">
        <w:rPr>
          <w:rFonts w:ascii="Calibri" w:hAnsi="Calibri" w:cs="Times New Roman"/>
          <w:sz w:val="24"/>
          <w:szCs w:val="24"/>
        </w:rPr>
        <w:t xml:space="preserve"> y no en la ley gallega. Al contrario,</w:t>
      </w:r>
      <w:r w:rsidR="00EE2F3F" w:rsidRPr="006730E3">
        <w:rPr>
          <w:rFonts w:ascii="Calibri" w:hAnsi="Calibri" w:cs="Times New Roman"/>
          <w:sz w:val="24"/>
          <w:szCs w:val="24"/>
        </w:rPr>
        <w:t xml:space="preserve"> el art. 171 LDCG</w:t>
      </w:r>
      <w:r w:rsidR="00802518" w:rsidRPr="006730E3">
        <w:rPr>
          <w:rFonts w:ascii="Calibri" w:hAnsi="Calibri" w:cs="Times New Roman"/>
          <w:sz w:val="24"/>
          <w:szCs w:val="24"/>
        </w:rPr>
        <w:t>, al que la DAT remite entre otros,</w:t>
      </w:r>
      <w:r w:rsidR="00EE2F3F" w:rsidRPr="006730E3">
        <w:rPr>
          <w:rFonts w:ascii="Calibri" w:hAnsi="Calibri" w:cs="Times New Roman"/>
          <w:sz w:val="24"/>
          <w:szCs w:val="24"/>
        </w:rPr>
        <w:t xml:space="preserve"> realiza una remisión dinámica al </w:t>
      </w:r>
      <w:r w:rsidR="00F05B37" w:rsidRPr="006730E3">
        <w:rPr>
          <w:rFonts w:ascii="Calibri" w:hAnsi="Calibri" w:cs="Times New Roman"/>
          <w:sz w:val="24"/>
          <w:szCs w:val="24"/>
        </w:rPr>
        <w:t>Código civil</w:t>
      </w:r>
      <w:r w:rsidR="001E01C9" w:rsidRPr="006730E3">
        <w:rPr>
          <w:rFonts w:ascii="Calibri" w:hAnsi="Calibri" w:cs="Times New Roman"/>
          <w:sz w:val="24"/>
          <w:szCs w:val="24"/>
        </w:rPr>
        <w:t xml:space="preserve"> (en adelante, CC)</w:t>
      </w:r>
      <w:r w:rsidR="00F05B37" w:rsidRPr="006730E3">
        <w:rPr>
          <w:rFonts w:ascii="Calibri" w:hAnsi="Calibri" w:cs="Times New Roman"/>
          <w:sz w:val="24"/>
          <w:szCs w:val="24"/>
        </w:rPr>
        <w:t>, integrando en la L</w:t>
      </w:r>
      <w:r w:rsidR="00EE2F3F" w:rsidRPr="006730E3">
        <w:rPr>
          <w:rFonts w:ascii="Calibri" w:hAnsi="Calibri" w:cs="Times New Roman"/>
          <w:sz w:val="24"/>
          <w:szCs w:val="24"/>
        </w:rPr>
        <w:t>ey gallega la regulación de la sociedad de gananciales</w:t>
      </w:r>
      <w:r w:rsidR="00802518" w:rsidRPr="006730E3">
        <w:rPr>
          <w:rFonts w:ascii="Calibri" w:hAnsi="Calibri" w:cs="Times New Roman"/>
          <w:sz w:val="24"/>
          <w:szCs w:val="24"/>
        </w:rPr>
        <w:t>. En definitiva,</w:t>
      </w:r>
      <w:r w:rsidR="00826772" w:rsidRPr="006730E3">
        <w:rPr>
          <w:rFonts w:ascii="Calibri" w:hAnsi="Calibri" w:cs="Times New Roman"/>
          <w:sz w:val="24"/>
          <w:szCs w:val="24"/>
        </w:rPr>
        <w:t xml:space="preserve"> </w:t>
      </w:r>
      <w:r w:rsidR="0023728E" w:rsidRPr="006730E3">
        <w:rPr>
          <w:rFonts w:ascii="Calibri" w:hAnsi="Calibri" w:cs="Times New Roman"/>
          <w:sz w:val="24"/>
          <w:szCs w:val="24"/>
        </w:rPr>
        <w:t xml:space="preserve">considerar supletorio </w:t>
      </w:r>
      <w:r w:rsidR="00826772" w:rsidRPr="006730E3">
        <w:rPr>
          <w:rFonts w:ascii="Calibri" w:hAnsi="Calibri" w:cs="Times New Roman"/>
          <w:sz w:val="24"/>
          <w:szCs w:val="24"/>
        </w:rPr>
        <w:t xml:space="preserve">el régimen de gananciales es correcto si con </w:t>
      </w:r>
      <w:r w:rsidR="00826772" w:rsidRPr="006730E3">
        <w:rPr>
          <w:rFonts w:ascii="Calibri" w:hAnsi="Calibri" w:cs="Times New Roman"/>
          <w:sz w:val="24"/>
          <w:szCs w:val="24"/>
        </w:rPr>
        <w:lastRenderedPageBreak/>
        <w:t xml:space="preserve">tal término </w:t>
      </w:r>
      <w:r w:rsidR="000F45F1" w:rsidRPr="006730E3">
        <w:rPr>
          <w:rFonts w:ascii="Calibri" w:hAnsi="Calibri" w:cs="Times New Roman"/>
          <w:sz w:val="24"/>
          <w:szCs w:val="24"/>
        </w:rPr>
        <w:t>queremos aludir</w:t>
      </w:r>
      <w:r w:rsidR="00826772" w:rsidRPr="006730E3">
        <w:rPr>
          <w:rFonts w:ascii="Calibri" w:hAnsi="Calibri" w:cs="Times New Roman"/>
          <w:sz w:val="24"/>
          <w:szCs w:val="24"/>
        </w:rPr>
        <w:t xml:space="preserve"> a </w:t>
      </w:r>
      <w:r w:rsidR="0023728E" w:rsidRPr="006730E3">
        <w:rPr>
          <w:rFonts w:ascii="Calibri" w:hAnsi="Calibri" w:cs="Times New Roman"/>
          <w:sz w:val="24"/>
          <w:szCs w:val="24"/>
        </w:rPr>
        <w:t>su naturaleza de</w:t>
      </w:r>
      <w:r w:rsidR="00826772" w:rsidRPr="006730E3">
        <w:rPr>
          <w:rFonts w:ascii="Calibri" w:hAnsi="Calibri" w:cs="Times New Roman"/>
          <w:sz w:val="24"/>
          <w:szCs w:val="24"/>
        </w:rPr>
        <w:t xml:space="preserve"> </w:t>
      </w:r>
      <w:r w:rsidR="0023728E" w:rsidRPr="006730E3">
        <w:rPr>
          <w:rFonts w:ascii="Calibri" w:hAnsi="Calibri" w:cs="Times New Roman"/>
          <w:sz w:val="24"/>
          <w:szCs w:val="24"/>
        </w:rPr>
        <w:t>derecho dispositivo</w:t>
      </w:r>
      <w:r w:rsidR="00A21A0A" w:rsidRPr="006730E3">
        <w:rPr>
          <w:rStyle w:val="Refdenotaalpie"/>
          <w:rFonts w:ascii="Calibri" w:hAnsi="Calibri" w:cs="Times New Roman"/>
          <w:sz w:val="24"/>
          <w:szCs w:val="24"/>
        </w:rPr>
        <w:footnoteReference w:id="16"/>
      </w:r>
      <w:r w:rsidR="00826772" w:rsidRPr="006730E3">
        <w:rPr>
          <w:rFonts w:ascii="Calibri" w:hAnsi="Calibri" w:cs="Times New Roman"/>
          <w:sz w:val="24"/>
          <w:szCs w:val="24"/>
        </w:rPr>
        <w:t xml:space="preserve">, pero </w:t>
      </w:r>
      <w:r w:rsidR="00DA6EDF" w:rsidRPr="006730E3">
        <w:rPr>
          <w:rFonts w:ascii="Calibri" w:hAnsi="Calibri" w:cs="Times New Roman"/>
          <w:sz w:val="24"/>
          <w:szCs w:val="24"/>
        </w:rPr>
        <w:t xml:space="preserve">es </w:t>
      </w:r>
      <w:r w:rsidR="00826772" w:rsidRPr="006730E3">
        <w:rPr>
          <w:rFonts w:ascii="Calibri" w:hAnsi="Calibri" w:cs="Times New Roman"/>
          <w:sz w:val="24"/>
          <w:szCs w:val="24"/>
        </w:rPr>
        <w:t xml:space="preserve">inexacto si nos referimos al origen o a la localización de la </w:t>
      </w:r>
      <w:r w:rsidR="0023728E" w:rsidRPr="006730E3">
        <w:rPr>
          <w:rFonts w:ascii="Calibri" w:hAnsi="Calibri" w:cs="Times New Roman"/>
          <w:sz w:val="24"/>
          <w:szCs w:val="24"/>
        </w:rPr>
        <w:t>norma que lo regula</w:t>
      </w:r>
      <w:r w:rsidR="00826772" w:rsidRPr="006730E3">
        <w:rPr>
          <w:rFonts w:ascii="Calibri" w:hAnsi="Calibri" w:cs="Times New Roman"/>
          <w:sz w:val="24"/>
          <w:szCs w:val="24"/>
        </w:rPr>
        <w:t>.</w:t>
      </w:r>
    </w:p>
    <w:p w:rsidR="00FA0C45" w:rsidRPr="00626C45" w:rsidRDefault="0080556C" w:rsidP="00416B3A">
      <w:pPr>
        <w:spacing w:line="312" w:lineRule="auto"/>
        <w:jc w:val="both"/>
        <w:rPr>
          <w:rFonts w:ascii="Calibri" w:hAnsi="Calibri" w:cs="Times New Roman"/>
          <w:sz w:val="24"/>
          <w:szCs w:val="24"/>
        </w:rPr>
      </w:pPr>
      <w:r w:rsidRPr="00626C45">
        <w:rPr>
          <w:rFonts w:ascii="Calibri" w:hAnsi="Calibri" w:cs="Times New Roman"/>
          <w:sz w:val="24"/>
          <w:szCs w:val="24"/>
        </w:rPr>
        <w:t xml:space="preserve">Frente a quienes sostiene que </w:t>
      </w:r>
      <w:r w:rsidR="00BC4FBA" w:rsidRPr="00626C45">
        <w:rPr>
          <w:rFonts w:ascii="Calibri" w:hAnsi="Calibri" w:cs="Times New Roman"/>
          <w:sz w:val="24"/>
          <w:szCs w:val="24"/>
        </w:rPr>
        <w:t>a la pareja de hecho de la DAT s</w:t>
      </w:r>
      <w:r w:rsidRPr="00626C45">
        <w:rPr>
          <w:rFonts w:ascii="Calibri" w:hAnsi="Calibri" w:cs="Times New Roman"/>
          <w:sz w:val="24"/>
          <w:szCs w:val="24"/>
        </w:rPr>
        <w:t xml:space="preserve">e le aplica la sociedad de gananciales en defecto de pacto, </w:t>
      </w:r>
      <w:r w:rsidR="0095217A" w:rsidRPr="00626C45">
        <w:rPr>
          <w:rFonts w:ascii="Calibri" w:hAnsi="Calibri" w:cs="Times New Roman"/>
          <w:sz w:val="24"/>
          <w:szCs w:val="24"/>
        </w:rPr>
        <w:t xml:space="preserve">muchos profesionales </w:t>
      </w:r>
      <w:r w:rsidR="00067AD1" w:rsidRPr="00626C45">
        <w:rPr>
          <w:rFonts w:ascii="Calibri" w:hAnsi="Calibri" w:cs="Times New Roman"/>
          <w:sz w:val="24"/>
          <w:szCs w:val="24"/>
        </w:rPr>
        <w:t>prácticos</w:t>
      </w:r>
      <w:r w:rsidR="0095217A" w:rsidRPr="00626C45">
        <w:rPr>
          <w:rFonts w:ascii="Calibri" w:hAnsi="Calibri" w:cs="Times New Roman"/>
          <w:sz w:val="24"/>
          <w:szCs w:val="24"/>
        </w:rPr>
        <w:t xml:space="preserve"> </w:t>
      </w:r>
      <w:r w:rsidRPr="00626C45">
        <w:rPr>
          <w:rFonts w:ascii="Calibri" w:hAnsi="Calibri" w:cs="Times New Roman"/>
          <w:sz w:val="24"/>
          <w:szCs w:val="24"/>
        </w:rPr>
        <w:t>opinan lo contrario</w:t>
      </w:r>
      <w:r w:rsidR="00F54800" w:rsidRPr="00626C45">
        <w:rPr>
          <w:rStyle w:val="Refdenotaalpie"/>
          <w:rFonts w:ascii="Calibri" w:hAnsi="Calibri" w:cs="Times New Roman"/>
          <w:sz w:val="24"/>
          <w:szCs w:val="24"/>
        </w:rPr>
        <w:footnoteReference w:id="17"/>
      </w:r>
      <w:r w:rsidRPr="00626C45">
        <w:rPr>
          <w:rFonts w:ascii="Calibri" w:hAnsi="Calibri" w:cs="Times New Roman"/>
          <w:sz w:val="24"/>
          <w:szCs w:val="24"/>
        </w:rPr>
        <w:t xml:space="preserve">. </w:t>
      </w:r>
      <w:r w:rsidR="00730E57" w:rsidRPr="00626C45">
        <w:rPr>
          <w:rFonts w:ascii="Calibri" w:hAnsi="Calibri" w:cs="Times New Roman"/>
          <w:sz w:val="24"/>
          <w:szCs w:val="24"/>
        </w:rPr>
        <w:t>Los argumentos, manejados generalmente, los resumen</w:t>
      </w:r>
      <w:r w:rsidR="0095217A" w:rsidRPr="00626C45">
        <w:rPr>
          <w:rFonts w:ascii="Calibri" w:hAnsi="Calibri" w:cs="Times New Roman"/>
          <w:sz w:val="24"/>
          <w:szCs w:val="24"/>
        </w:rPr>
        <w:t xml:space="preserve"> </w:t>
      </w:r>
      <w:r w:rsidR="00626C45" w:rsidRPr="00626C45">
        <w:rPr>
          <w:rFonts w:ascii="Calibri" w:hAnsi="Calibri" w:cs="Times New Roman"/>
          <w:sz w:val="24"/>
          <w:szCs w:val="24"/>
        </w:rPr>
        <w:t>Calvo Vidal, Cantero Núñez y Sanmartín Losada</w:t>
      </w:r>
      <w:r w:rsidR="00D61A52" w:rsidRPr="00626C45">
        <w:rPr>
          <w:rFonts w:ascii="Calibri" w:hAnsi="Calibri" w:cs="Times New Roman"/>
          <w:sz w:val="24"/>
          <w:szCs w:val="24"/>
        </w:rPr>
        <w:t>:</w:t>
      </w:r>
    </w:p>
    <w:p w:rsidR="009D4D07" w:rsidRPr="006730E3" w:rsidRDefault="00357BC5" w:rsidP="00416B3A">
      <w:pPr>
        <w:spacing w:line="312" w:lineRule="auto"/>
        <w:jc w:val="both"/>
        <w:rPr>
          <w:rFonts w:ascii="Calibri" w:hAnsi="Calibri" w:cs="Times New Roman"/>
          <w:sz w:val="24"/>
          <w:szCs w:val="24"/>
        </w:rPr>
      </w:pPr>
      <w:r w:rsidRPr="006730E3">
        <w:rPr>
          <w:rFonts w:ascii="Calibri" w:hAnsi="Calibri" w:cs="Times New Roman"/>
          <w:sz w:val="24"/>
          <w:szCs w:val="24"/>
        </w:rPr>
        <w:t>En primer lugar, e</w:t>
      </w:r>
      <w:r w:rsidR="00FA0C45" w:rsidRPr="006730E3">
        <w:rPr>
          <w:rFonts w:ascii="Calibri" w:hAnsi="Calibri" w:cs="Times New Roman"/>
          <w:sz w:val="24"/>
          <w:szCs w:val="24"/>
        </w:rPr>
        <w:t>llo n</w:t>
      </w:r>
      <w:r w:rsidR="00730E57" w:rsidRPr="006730E3">
        <w:rPr>
          <w:rFonts w:ascii="Calibri" w:hAnsi="Calibri" w:cs="Times New Roman"/>
          <w:sz w:val="24"/>
          <w:szCs w:val="24"/>
        </w:rPr>
        <w:t>o era la finalidad del legislador, como resulta del proceso de elaboración de la norma</w:t>
      </w:r>
      <w:r w:rsidR="00D310F7" w:rsidRPr="006730E3">
        <w:rPr>
          <w:rFonts w:ascii="Calibri" w:hAnsi="Calibri" w:cs="Times New Roman"/>
          <w:sz w:val="24"/>
          <w:szCs w:val="24"/>
        </w:rPr>
        <w:t>. Además,</w:t>
      </w:r>
      <w:r w:rsidR="007914E5" w:rsidRPr="006730E3">
        <w:rPr>
          <w:rFonts w:ascii="Calibri" w:hAnsi="Calibri" w:cs="Times New Roman"/>
          <w:sz w:val="24"/>
          <w:szCs w:val="24"/>
        </w:rPr>
        <w:t xml:space="preserve"> de haber sido tal su intención, la magnitud de la medida hubiese merecido</w:t>
      </w:r>
      <w:r w:rsidR="00730E57" w:rsidRPr="006730E3">
        <w:rPr>
          <w:rFonts w:ascii="Calibri" w:hAnsi="Calibri" w:cs="Times New Roman"/>
          <w:sz w:val="24"/>
          <w:szCs w:val="24"/>
        </w:rPr>
        <w:t xml:space="preserve"> </w:t>
      </w:r>
      <w:r w:rsidR="00D310F7" w:rsidRPr="006730E3">
        <w:rPr>
          <w:rFonts w:ascii="Calibri" w:hAnsi="Calibri" w:cs="Times New Roman"/>
          <w:sz w:val="24"/>
          <w:szCs w:val="24"/>
        </w:rPr>
        <w:t>algo más que una mera referencia en el pre</w:t>
      </w:r>
      <w:r w:rsidR="00FA0C45" w:rsidRPr="006730E3">
        <w:rPr>
          <w:rFonts w:ascii="Calibri" w:hAnsi="Calibri" w:cs="Times New Roman"/>
          <w:sz w:val="24"/>
          <w:szCs w:val="24"/>
        </w:rPr>
        <w:t>ámbulo de la ley, la</w:t>
      </w:r>
      <w:r w:rsidR="00D310F7" w:rsidRPr="006730E3">
        <w:rPr>
          <w:rFonts w:ascii="Calibri" w:hAnsi="Calibri" w:cs="Times New Roman"/>
          <w:sz w:val="24"/>
          <w:szCs w:val="24"/>
        </w:rPr>
        <w:t xml:space="preserve"> cual </w:t>
      </w:r>
      <w:r w:rsidR="00FA0C45" w:rsidRPr="006730E3">
        <w:rPr>
          <w:rFonts w:ascii="Calibri" w:hAnsi="Calibri" w:cs="Times New Roman"/>
          <w:sz w:val="24"/>
          <w:szCs w:val="24"/>
        </w:rPr>
        <w:t>guarda absoluto silencio al respecto</w:t>
      </w:r>
      <w:r w:rsidR="00D310F7" w:rsidRPr="006730E3">
        <w:rPr>
          <w:rFonts w:ascii="Calibri" w:hAnsi="Calibri" w:cs="Times New Roman"/>
          <w:sz w:val="24"/>
          <w:szCs w:val="24"/>
        </w:rPr>
        <w:t>.</w:t>
      </w:r>
      <w:r w:rsidRPr="006730E3">
        <w:rPr>
          <w:rFonts w:ascii="Calibri" w:hAnsi="Calibri" w:cs="Times New Roman"/>
          <w:sz w:val="24"/>
          <w:szCs w:val="24"/>
        </w:rPr>
        <w:t xml:space="preserve"> En segundo lugar, n</w:t>
      </w:r>
      <w:r w:rsidR="00100B33" w:rsidRPr="006730E3">
        <w:rPr>
          <w:rFonts w:ascii="Calibri" w:hAnsi="Calibri" w:cs="Times New Roman"/>
          <w:sz w:val="24"/>
          <w:szCs w:val="24"/>
        </w:rPr>
        <w:t>inguna otra legislación autonómica establece la extensión del régimen económico matrimonial a la pareja lo cual, teniendo en cuenta la actuación mimética de los legisladores autonómicos, es otro argumento a considerar.</w:t>
      </w:r>
      <w:r w:rsidRPr="006730E3">
        <w:rPr>
          <w:rFonts w:ascii="Calibri" w:hAnsi="Calibri" w:cs="Times New Roman"/>
          <w:sz w:val="24"/>
          <w:szCs w:val="24"/>
        </w:rPr>
        <w:t xml:space="preserve"> En tercer lugar, l</w:t>
      </w:r>
      <w:r w:rsidR="00100B33" w:rsidRPr="006730E3">
        <w:rPr>
          <w:rFonts w:ascii="Calibri" w:hAnsi="Calibri" w:cs="Times New Roman"/>
          <w:sz w:val="24"/>
          <w:szCs w:val="24"/>
        </w:rPr>
        <w:t>a jurisprudencia del Tribunal Supremo niega la aplicación analógica de los regímenes económicos matrimoniales a los convivientes, pues ello violaría la libertad individual y el libre desarrollo de la personalidad.</w:t>
      </w:r>
      <w:r w:rsidRPr="006730E3">
        <w:rPr>
          <w:rFonts w:ascii="Calibri" w:hAnsi="Calibri" w:cs="Times New Roman"/>
          <w:sz w:val="24"/>
          <w:szCs w:val="24"/>
        </w:rPr>
        <w:t xml:space="preserve"> En cuarto lugar, e</w:t>
      </w:r>
      <w:r w:rsidR="00D310F7" w:rsidRPr="006730E3">
        <w:rPr>
          <w:rFonts w:ascii="Calibri" w:hAnsi="Calibri" w:cs="Times New Roman"/>
          <w:sz w:val="24"/>
          <w:szCs w:val="24"/>
        </w:rPr>
        <w:t>l legislador se limita a extender</w:t>
      </w:r>
      <w:r w:rsidR="00FA0C45" w:rsidRPr="006730E3">
        <w:rPr>
          <w:rFonts w:ascii="Calibri" w:hAnsi="Calibri" w:cs="Times New Roman"/>
          <w:sz w:val="24"/>
          <w:szCs w:val="24"/>
        </w:rPr>
        <w:t xml:space="preserve"> a los miembros de la pareja los derechos y obligaciones que la LDCG reconoce a los cónyuges y no es posible considerar de forma tan reduccionista el régimen económico matrimonial. </w:t>
      </w:r>
      <w:r w:rsidRPr="006730E3">
        <w:rPr>
          <w:rFonts w:ascii="Calibri" w:hAnsi="Calibri" w:cs="Times New Roman"/>
          <w:sz w:val="24"/>
          <w:szCs w:val="24"/>
        </w:rPr>
        <w:t>Finalmente, n</w:t>
      </w:r>
      <w:r w:rsidR="00FA0C45" w:rsidRPr="006730E3">
        <w:rPr>
          <w:rFonts w:ascii="Calibri" w:hAnsi="Calibri" w:cs="Times New Roman"/>
          <w:sz w:val="24"/>
          <w:szCs w:val="24"/>
        </w:rPr>
        <w:t>o es admisible ni asumible la limitación de la liberta</w:t>
      </w:r>
      <w:r w:rsidR="00646128" w:rsidRPr="006730E3">
        <w:rPr>
          <w:rFonts w:ascii="Calibri" w:hAnsi="Calibri" w:cs="Times New Roman"/>
          <w:sz w:val="24"/>
          <w:szCs w:val="24"/>
        </w:rPr>
        <w:t>d</w:t>
      </w:r>
      <w:r w:rsidR="00FA0C45" w:rsidRPr="006730E3">
        <w:rPr>
          <w:rFonts w:ascii="Calibri" w:hAnsi="Calibri" w:cs="Times New Roman"/>
          <w:sz w:val="24"/>
          <w:szCs w:val="24"/>
        </w:rPr>
        <w:t xml:space="preserve"> de disposición de las partes, así como la inseguridad e injusticia que se generaría en el tr</w:t>
      </w:r>
      <w:r w:rsidR="00100B33" w:rsidRPr="006730E3">
        <w:rPr>
          <w:rFonts w:ascii="Calibri" w:hAnsi="Calibri" w:cs="Times New Roman"/>
          <w:sz w:val="24"/>
          <w:szCs w:val="24"/>
        </w:rPr>
        <w:t>áfico</w:t>
      </w:r>
      <w:r w:rsidR="00FA0C45" w:rsidRPr="006730E3">
        <w:rPr>
          <w:rStyle w:val="Refdenotaalpie"/>
          <w:rFonts w:ascii="Calibri" w:hAnsi="Calibri" w:cs="Times New Roman"/>
          <w:sz w:val="24"/>
          <w:szCs w:val="24"/>
        </w:rPr>
        <w:footnoteReference w:id="18"/>
      </w:r>
      <w:r w:rsidR="00FA0C45" w:rsidRPr="006730E3">
        <w:rPr>
          <w:rFonts w:ascii="Calibri" w:hAnsi="Calibri" w:cs="Times New Roman"/>
          <w:sz w:val="24"/>
          <w:szCs w:val="24"/>
        </w:rPr>
        <w:t xml:space="preserve">. </w:t>
      </w:r>
    </w:p>
    <w:p w:rsidR="001E3984" w:rsidRPr="006730E3" w:rsidRDefault="001E3984"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Sin embargo, todos estos </w:t>
      </w:r>
      <w:r w:rsidR="00C723C9" w:rsidRPr="006730E3">
        <w:rPr>
          <w:rFonts w:ascii="Calibri" w:hAnsi="Calibri" w:cs="Times New Roman"/>
          <w:sz w:val="24"/>
          <w:szCs w:val="24"/>
        </w:rPr>
        <w:t>razonamientos</w:t>
      </w:r>
      <w:r w:rsidR="00B65F15" w:rsidRPr="006730E3">
        <w:rPr>
          <w:rFonts w:ascii="Calibri" w:hAnsi="Calibri" w:cs="Times New Roman"/>
          <w:sz w:val="24"/>
          <w:szCs w:val="24"/>
        </w:rPr>
        <w:t>, que se presentan de lo más variopintos,</w:t>
      </w:r>
      <w:r w:rsidRPr="006730E3">
        <w:rPr>
          <w:rFonts w:ascii="Calibri" w:hAnsi="Calibri" w:cs="Times New Roman"/>
          <w:sz w:val="24"/>
          <w:szCs w:val="24"/>
        </w:rPr>
        <w:t xml:space="preserve"> son rebatibles y entendemos que están encaminados, más que a una lectura e interpretación del propio texto legal, a justificar lo que para los citados autores sería la opción más adecuada: la no aplicación de la sociedad de gananciales a la pareja.</w:t>
      </w:r>
    </w:p>
    <w:p w:rsidR="004105DD" w:rsidRPr="006730E3" w:rsidRDefault="008D28E5" w:rsidP="00416B3A">
      <w:pPr>
        <w:spacing w:line="312" w:lineRule="auto"/>
        <w:jc w:val="both"/>
        <w:rPr>
          <w:rFonts w:ascii="Calibri" w:hAnsi="Calibri" w:cs="Times New Roman"/>
          <w:sz w:val="24"/>
          <w:szCs w:val="24"/>
        </w:rPr>
      </w:pPr>
      <w:r w:rsidRPr="006730E3">
        <w:rPr>
          <w:rFonts w:ascii="Calibri" w:hAnsi="Calibri" w:cs="Times New Roman"/>
          <w:sz w:val="24"/>
          <w:szCs w:val="24"/>
        </w:rPr>
        <w:t>E</w:t>
      </w:r>
      <w:r w:rsidR="00B65F15" w:rsidRPr="006730E3">
        <w:rPr>
          <w:rFonts w:ascii="Calibri" w:hAnsi="Calibri" w:cs="Times New Roman"/>
          <w:sz w:val="24"/>
          <w:szCs w:val="24"/>
        </w:rPr>
        <w:t>l primer argumento, apelar a la finalidad e intencionalidad de</w:t>
      </w:r>
      <w:r w:rsidR="00673299" w:rsidRPr="006730E3">
        <w:rPr>
          <w:rFonts w:ascii="Calibri" w:hAnsi="Calibri" w:cs="Times New Roman"/>
          <w:sz w:val="24"/>
          <w:szCs w:val="24"/>
        </w:rPr>
        <w:t>l legislador, carece de solidez en un c</w:t>
      </w:r>
      <w:r w:rsidR="00C723C9" w:rsidRPr="006730E3">
        <w:rPr>
          <w:rFonts w:ascii="Calibri" w:hAnsi="Calibri" w:cs="Times New Roman"/>
          <w:sz w:val="24"/>
          <w:szCs w:val="24"/>
        </w:rPr>
        <w:t>aso como el presente. P</w:t>
      </w:r>
      <w:r w:rsidR="00673299" w:rsidRPr="006730E3">
        <w:rPr>
          <w:rFonts w:ascii="Calibri" w:hAnsi="Calibri" w:cs="Times New Roman"/>
          <w:sz w:val="24"/>
          <w:szCs w:val="24"/>
        </w:rPr>
        <w:t xml:space="preserve">or un lado, estos autores </w:t>
      </w:r>
      <w:r w:rsidR="00506FCF" w:rsidRPr="006730E3">
        <w:rPr>
          <w:rFonts w:ascii="Calibri" w:hAnsi="Calibri" w:cs="Times New Roman"/>
          <w:sz w:val="24"/>
          <w:szCs w:val="24"/>
        </w:rPr>
        <w:t>reconocen que</w:t>
      </w:r>
      <w:r w:rsidR="00673299" w:rsidRPr="006730E3">
        <w:rPr>
          <w:rFonts w:ascii="Calibri" w:hAnsi="Calibri" w:cs="Times New Roman"/>
          <w:sz w:val="24"/>
          <w:szCs w:val="24"/>
        </w:rPr>
        <w:t xml:space="preserve"> la regulación de la DAT</w:t>
      </w:r>
      <w:r w:rsidRPr="006730E3">
        <w:rPr>
          <w:rFonts w:ascii="Calibri" w:hAnsi="Calibri" w:cs="Times New Roman"/>
          <w:sz w:val="24"/>
          <w:szCs w:val="24"/>
        </w:rPr>
        <w:t>,</w:t>
      </w:r>
      <w:r w:rsidR="00673299" w:rsidRPr="006730E3">
        <w:rPr>
          <w:rFonts w:ascii="Calibri" w:hAnsi="Calibri" w:cs="Times New Roman"/>
          <w:sz w:val="24"/>
          <w:szCs w:val="24"/>
        </w:rPr>
        <w:t xml:space="preserve"> </w:t>
      </w:r>
      <w:r w:rsidR="00506FCF" w:rsidRPr="006730E3">
        <w:rPr>
          <w:rFonts w:ascii="Calibri" w:hAnsi="Calibri" w:cs="Times New Roman"/>
          <w:sz w:val="24"/>
          <w:szCs w:val="24"/>
        </w:rPr>
        <w:t>como</w:t>
      </w:r>
      <w:r w:rsidR="00673299" w:rsidRPr="006730E3">
        <w:rPr>
          <w:rFonts w:ascii="Calibri" w:hAnsi="Calibri" w:cs="Times New Roman"/>
          <w:sz w:val="24"/>
          <w:szCs w:val="24"/>
        </w:rPr>
        <w:t xml:space="preserve"> «añadido de última hora»</w:t>
      </w:r>
      <w:r w:rsidR="0080556C" w:rsidRPr="006730E3">
        <w:rPr>
          <w:rFonts w:ascii="Calibri" w:hAnsi="Calibri" w:cs="Times New Roman"/>
          <w:sz w:val="24"/>
          <w:szCs w:val="24"/>
        </w:rPr>
        <w:t xml:space="preserve"> en la LDCG</w:t>
      </w:r>
      <w:r w:rsidRPr="006730E3">
        <w:rPr>
          <w:rFonts w:ascii="Calibri" w:hAnsi="Calibri" w:cs="Times New Roman"/>
          <w:sz w:val="24"/>
          <w:szCs w:val="24"/>
        </w:rPr>
        <w:t>,</w:t>
      </w:r>
      <w:r w:rsidR="00506FCF" w:rsidRPr="006730E3">
        <w:rPr>
          <w:rFonts w:ascii="Calibri" w:hAnsi="Calibri" w:cs="Times New Roman"/>
          <w:sz w:val="24"/>
          <w:szCs w:val="24"/>
        </w:rPr>
        <w:t xml:space="preserve"> justifica la ausencia de la más mínima alusión a la misma en la Exposición de </w:t>
      </w:r>
      <w:r w:rsidR="0080556C" w:rsidRPr="006730E3">
        <w:rPr>
          <w:rFonts w:ascii="Calibri" w:hAnsi="Calibri" w:cs="Times New Roman"/>
          <w:sz w:val="24"/>
          <w:szCs w:val="24"/>
        </w:rPr>
        <w:t>Motivos del texto legal</w:t>
      </w:r>
      <w:r w:rsidR="00673299" w:rsidRPr="006730E3">
        <w:rPr>
          <w:rStyle w:val="Refdenotaalpie"/>
          <w:rFonts w:ascii="Calibri" w:hAnsi="Calibri" w:cs="Times New Roman"/>
          <w:sz w:val="24"/>
          <w:szCs w:val="24"/>
        </w:rPr>
        <w:footnoteReference w:id="19"/>
      </w:r>
      <w:r w:rsidR="00BC4FBA" w:rsidRPr="006730E3">
        <w:rPr>
          <w:rFonts w:ascii="Calibri" w:hAnsi="Calibri" w:cs="Times New Roman"/>
          <w:sz w:val="24"/>
          <w:szCs w:val="24"/>
        </w:rPr>
        <w:t>. P</w:t>
      </w:r>
      <w:r w:rsidR="00673299" w:rsidRPr="006730E3">
        <w:rPr>
          <w:rFonts w:ascii="Calibri" w:hAnsi="Calibri" w:cs="Times New Roman"/>
          <w:sz w:val="24"/>
          <w:szCs w:val="24"/>
        </w:rPr>
        <w:t xml:space="preserve">or otro lado, es una apreciación comúnmente compartida que el legislador ha sido poco consciente del alcance </w:t>
      </w:r>
      <w:r w:rsidR="00673299" w:rsidRPr="006730E3">
        <w:rPr>
          <w:rFonts w:ascii="Calibri" w:hAnsi="Calibri" w:cs="Times New Roman"/>
          <w:sz w:val="24"/>
          <w:szCs w:val="24"/>
        </w:rPr>
        <w:lastRenderedPageBreak/>
        <w:t>total de la regulación</w:t>
      </w:r>
      <w:r w:rsidR="00506FCF" w:rsidRPr="006730E3">
        <w:rPr>
          <w:rFonts w:ascii="Calibri" w:hAnsi="Calibri" w:cs="Times New Roman"/>
          <w:sz w:val="24"/>
          <w:szCs w:val="24"/>
        </w:rPr>
        <w:t xml:space="preserve"> de la DAT</w:t>
      </w:r>
      <w:r w:rsidR="00580CC4" w:rsidRPr="006730E3">
        <w:rPr>
          <w:rFonts w:ascii="Calibri" w:hAnsi="Calibri" w:cs="Times New Roman"/>
          <w:sz w:val="24"/>
          <w:szCs w:val="24"/>
        </w:rPr>
        <w:t xml:space="preserve"> y de las dificultades que suscita</w:t>
      </w:r>
      <w:r w:rsidR="00673299" w:rsidRPr="006730E3">
        <w:rPr>
          <w:rStyle w:val="Refdenotaalpie"/>
          <w:rFonts w:ascii="Calibri" w:hAnsi="Calibri" w:cs="Times New Roman"/>
          <w:sz w:val="24"/>
          <w:szCs w:val="24"/>
        </w:rPr>
        <w:footnoteReference w:id="20"/>
      </w:r>
      <w:r w:rsidR="00673299" w:rsidRPr="006730E3">
        <w:rPr>
          <w:rFonts w:ascii="Calibri" w:hAnsi="Calibri" w:cs="Times New Roman"/>
          <w:sz w:val="24"/>
          <w:szCs w:val="24"/>
        </w:rPr>
        <w:t>.</w:t>
      </w:r>
      <w:r w:rsidR="00FA4794" w:rsidRPr="006730E3">
        <w:rPr>
          <w:rFonts w:ascii="Calibri" w:hAnsi="Calibri" w:cs="Times New Roman"/>
          <w:sz w:val="24"/>
          <w:szCs w:val="24"/>
        </w:rPr>
        <w:t xml:space="preserve"> </w:t>
      </w:r>
      <w:r w:rsidR="00BC4FBA" w:rsidRPr="006730E3">
        <w:rPr>
          <w:rFonts w:ascii="Calibri" w:hAnsi="Calibri" w:cs="Times New Roman"/>
          <w:sz w:val="24"/>
          <w:szCs w:val="24"/>
        </w:rPr>
        <w:t>Un claro ejemplo de ello es la justificación que el propio legislador ofrece para proceder a modificar la DAT. Según la Exposición de Motivos de la ley de reforma de 2007, el legislador admite que no fue su intención «</w:t>
      </w:r>
      <w:r w:rsidR="00BC4FBA" w:rsidRPr="006730E3">
        <w:rPr>
          <w:rFonts w:ascii="Calibri" w:hAnsi="Calibri" w:cs="Times New Roman"/>
          <w:sz w:val="24"/>
          <w:szCs w:val="24"/>
          <w:shd w:val="clear" w:color="auto" w:fill="FFFFFF"/>
        </w:rPr>
        <w:t xml:space="preserve">establecer la equiparación </w:t>
      </w:r>
      <w:proofErr w:type="spellStart"/>
      <w:r w:rsidR="00BC4FBA" w:rsidRPr="006730E3">
        <w:rPr>
          <w:rFonts w:ascii="Calibri" w:hAnsi="Calibri" w:cs="Times New Roman"/>
          <w:i/>
          <w:sz w:val="24"/>
          <w:szCs w:val="24"/>
          <w:shd w:val="clear" w:color="auto" w:fill="FFFFFF"/>
        </w:rPr>
        <w:t>ope</w:t>
      </w:r>
      <w:proofErr w:type="spellEnd"/>
      <w:r w:rsidR="00BC4FBA" w:rsidRPr="006730E3">
        <w:rPr>
          <w:rFonts w:ascii="Calibri" w:hAnsi="Calibri" w:cs="Times New Roman"/>
          <w:i/>
          <w:sz w:val="24"/>
          <w:szCs w:val="24"/>
          <w:shd w:val="clear" w:color="auto" w:fill="FFFFFF"/>
        </w:rPr>
        <w:t xml:space="preserve"> legis</w:t>
      </w:r>
      <w:r w:rsidR="00BC4FBA" w:rsidRPr="006730E3">
        <w:rPr>
          <w:rFonts w:ascii="Calibri" w:hAnsi="Calibri" w:cs="Times New Roman"/>
          <w:sz w:val="24"/>
          <w:szCs w:val="24"/>
          <w:shd w:val="clear" w:color="auto" w:fill="FFFFFF"/>
        </w:rPr>
        <w:t xml:space="preserve"> de quienes no deseasen ser equiparados</w:t>
      </w:r>
      <w:r w:rsidR="00BC4FBA" w:rsidRPr="006730E3">
        <w:rPr>
          <w:rFonts w:ascii="Calibri" w:hAnsi="Calibri" w:cs="Times New Roman"/>
          <w:sz w:val="24"/>
          <w:szCs w:val="24"/>
        </w:rPr>
        <w:t>»</w:t>
      </w:r>
      <w:r w:rsidR="00357BC5" w:rsidRPr="006730E3">
        <w:rPr>
          <w:rFonts w:ascii="Calibri" w:hAnsi="Calibri" w:cs="Times New Roman"/>
          <w:sz w:val="24"/>
          <w:szCs w:val="24"/>
        </w:rPr>
        <w:t xml:space="preserve"> al matrimonio</w:t>
      </w:r>
      <w:r w:rsidR="004105DD" w:rsidRPr="006730E3">
        <w:rPr>
          <w:rFonts w:ascii="Calibri" w:hAnsi="Calibri" w:cs="Times New Roman"/>
          <w:sz w:val="24"/>
          <w:szCs w:val="24"/>
        </w:rPr>
        <w:t xml:space="preserve"> y que la primera versión de la DAT no reflejaba «la auténtica voluntad del legislador». Sin embargo, una cosa es lo que el legislador quería y otra muy distinta lo que finalmente acabó legislando: la mimetización de la pareja puramente de hecho al matrimonio. Si hubiese sido posible otra interpretación de la DAT de 2006, </w:t>
      </w:r>
      <w:r w:rsidR="00F05B37" w:rsidRPr="006730E3">
        <w:rPr>
          <w:rFonts w:ascii="Calibri" w:hAnsi="Calibri" w:cs="Times New Roman"/>
          <w:sz w:val="24"/>
          <w:szCs w:val="24"/>
        </w:rPr>
        <w:t>no</w:t>
      </w:r>
      <w:r w:rsidR="004105DD" w:rsidRPr="006730E3">
        <w:rPr>
          <w:rFonts w:ascii="Calibri" w:hAnsi="Calibri" w:cs="Times New Roman"/>
          <w:sz w:val="24"/>
          <w:szCs w:val="24"/>
        </w:rPr>
        <w:t xml:space="preserve"> </w:t>
      </w:r>
      <w:r w:rsidR="00166C57" w:rsidRPr="006730E3">
        <w:rPr>
          <w:rFonts w:ascii="Calibri" w:hAnsi="Calibri" w:cs="Times New Roman"/>
          <w:sz w:val="24"/>
          <w:szCs w:val="24"/>
        </w:rPr>
        <w:t xml:space="preserve">se </w:t>
      </w:r>
      <w:r w:rsidR="004105DD" w:rsidRPr="006730E3">
        <w:rPr>
          <w:rFonts w:ascii="Calibri" w:hAnsi="Calibri" w:cs="Times New Roman"/>
          <w:sz w:val="24"/>
          <w:szCs w:val="24"/>
        </w:rPr>
        <w:t>habr</w:t>
      </w:r>
      <w:r w:rsidR="00F05B37" w:rsidRPr="006730E3">
        <w:rPr>
          <w:rFonts w:ascii="Calibri" w:hAnsi="Calibri" w:cs="Times New Roman"/>
          <w:sz w:val="24"/>
          <w:szCs w:val="24"/>
        </w:rPr>
        <w:t>ía considerado</w:t>
      </w:r>
      <w:r w:rsidR="004105DD" w:rsidRPr="006730E3">
        <w:rPr>
          <w:rFonts w:ascii="Calibri" w:hAnsi="Calibri" w:cs="Times New Roman"/>
          <w:sz w:val="24"/>
          <w:szCs w:val="24"/>
        </w:rPr>
        <w:t xml:space="preserve"> necesaria la </w:t>
      </w:r>
      <w:r w:rsidR="00F05B37" w:rsidRPr="006730E3">
        <w:rPr>
          <w:rFonts w:ascii="Calibri" w:hAnsi="Calibri" w:cs="Times New Roman"/>
          <w:sz w:val="24"/>
          <w:szCs w:val="24"/>
        </w:rPr>
        <w:t xml:space="preserve">pronta </w:t>
      </w:r>
      <w:r w:rsidR="004105DD" w:rsidRPr="006730E3">
        <w:rPr>
          <w:rFonts w:ascii="Calibri" w:hAnsi="Calibri" w:cs="Times New Roman"/>
          <w:sz w:val="24"/>
          <w:szCs w:val="24"/>
        </w:rPr>
        <w:t xml:space="preserve">reforma de 2007. </w:t>
      </w:r>
    </w:p>
    <w:p w:rsidR="001E3984" w:rsidRPr="006730E3" w:rsidRDefault="008D28E5"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cualquier caso, </w:t>
      </w:r>
      <w:r w:rsidR="004105DD" w:rsidRPr="006730E3">
        <w:rPr>
          <w:rFonts w:ascii="Calibri" w:hAnsi="Calibri" w:cs="Times New Roman"/>
          <w:sz w:val="24"/>
          <w:szCs w:val="24"/>
        </w:rPr>
        <w:t xml:space="preserve">y siguiendo con la cuestión que nos atañe, </w:t>
      </w:r>
      <w:r w:rsidRPr="006730E3">
        <w:rPr>
          <w:rFonts w:ascii="Calibri" w:hAnsi="Calibri" w:cs="Times New Roman"/>
          <w:sz w:val="24"/>
          <w:szCs w:val="24"/>
        </w:rPr>
        <w:t xml:space="preserve">tampoco se </w:t>
      </w:r>
      <w:r w:rsidR="00C723C9" w:rsidRPr="006730E3">
        <w:rPr>
          <w:rFonts w:ascii="Calibri" w:hAnsi="Calibri" w:cs="Times New Roman"/>
          <w:sz w:val="24"/>
          <w:szCs w:val="24"/>
        </w:rPr>
        <w:t>podría</w:t>
      </w:r>
      <w:r w:rsidRPr="006730E3">
        <w:rPr>
          <w:rFonts w:ascii="Calibri" w:hAnsi="Calibri" w:cs="Times New Roman"/>
          <w:sz w:val="24"/>
          <w:szCs w:val="24"/>
        </w:rPr>
        <w:t xml:space="preserve"> afirmar de forma tajante que el legislador</w:t>
      </w:r>
      <w:r w:rsidR="00C723C9" w:rsidRPr="006730E3">
        <w:rPr>
          <w:rFonts w:ascii="Calibri" w:hAnsi="Calibri" w:cs="Times New Roman"/>
          <w:sz w:val="24"/>
          <w:szCs w:val="24"/>
        </w:rPr>
        <w:t xml:space="preserve"> gallego</w:t>
      </w:r>
      <w:r w:rsidRPr="006730E3">
        <w:rPr>
          <w:rFonts w:ascii="Calibri" w:hAnsi="Calibri" w:cs="Times New Roman"/>
          <w:sz w:val="24"/>
          <w:szCs w:val="24"/>
        </w:rPr>
        <w:t xml:space="preserve"> </w:t>
      </w:r>
      <w:r w:rsidR="001143F7" w:rsidRPr="006730E3">
        <w:rPr>
          <w:rFonts w:ascii="Calibri" w:hAnsi="Calibri" w:cs="Times New Roman"/>
          <w:sz w:val="24"/>
          <w:szCs w:val="24"/>
        </w:rPr>
        <w:t>nunca</w:t>
      </w:r>
      <w:r w:rsidRPr="006730E3">
        <w:rPr>
          <w:rFonts w:ascii="Calibri" w:hAnsi="Calibri" w:cs="Times New Roman"/>
          <w:sz w:val="24"/>
          <w:szCs w:val="24"/>
        </w:rPr>
        <w:t xml:space="preserve"> </w:t>
      </w:r>
      <w:r w:rsidR="0080556C" w:rsidRPr="006730E3">
        <w:rPr>
          <w:rFonts w:ascii="Calibri" w:hAnsi="Calibri" w:cs="Times New Roman"/>
          <w:sz w:val="24"/>
          <w:szCs w:val="24"/>
        </w:rPr>
        <w:t>haya</w:t>
      </w:r>
      <w:r w:rsidRPr="006730E3">
        <w:rPr>
          <w:rFonts w:ascii="Calibri" w:hAnsi="Calibri" w:cs="Times New Roman"/>
          <w:sz w:val="24"/>
          <w:szCs w:val="24"/>
        </w:rPr>
        <w:t xml:space="preserve"> barajado la aplicación de la sociedad de gananciales a las parejas de hecho. Muestra de ello es la Proposición de </w:t>
      </w:r>
      <w:proofErr w:type="spellStart"/>
      <w:r w:rsidRPr="006730E3">
        <w:rPr>
          <w:rFonts w:ascii="Calibri" w:hAnsi="Calibri" w:cs="Times New Roman"/>
          <w:sz w:val="24"/>
          <w:szCs w:val="24"/>
        </w:rPr>
        <w:t>lei</w:t>
      </w:r>
      <w:proofErr w:type="spellEnd"/>
      <w:r w:rsidRPr="006730E3">
        <w:rPr>
          <w:rFonts w:ascii="Calibri" w:hAnsi="Calibri" w:cs="Times New Roman"/>
          <w:sz w:val="24"/>
          <w:szCs w:val="24"/>
        </w:rPr>
        <w:t xml:space="preserve"> de parellas de </w:t>
      </w:r>
      <w:proofErr w:type="spellStart"/>
      <w:r w:rsidRPr="006730E3">
        <w:rPr>
          <w:rFonts w:ascii="Calibri" w:hAnsi="Calibri" w:cs="Times New Roman"/>
          <w:sz w:val="24"/>
          <w:szCs w:val="24"/>
        </w:rPr>
        <w:t>feito</w:t>
      </w:r>
      <w:proofErr w:type="spellEnd"/>
      <w:r w:rsidRPr="006730E3">
        <w:rPr>
          <w:rFonts w:ascii="Calibri" w:hAnsi="Calibri" w:cs="Times New Roman"/>
          <w:sz w:val="24"/>
          <w:szCs w:val="24"/>
        </w:rPr>
        <w:t xml:space="preserve"> de Galicia, de 10 de noviembre de 2003, que establecía la aplicación de </w:t>
      </w:r>
      <w:r w:rsidR="006400E4" w:rsidRPr="006730E3">
        <w:rPr>
          <w:rFonts w:ascii="Calibri" w:hAnsi="Calibri" w:cs="Times New Roman"/>
          <w:sz w:val="24"/>
          <w:szCs w:val="24"/>
        </w:rPr>
        <w:t>dicho régimen como</w:t>
      </w:r>
      <w:r w:rsidRPr="006730E3">
        <w:rPr>
          <w:rFonts w:ascii="Calibri" w:hAnsi="Calibri" w:cs="Times New Roman"/>
          <w:sz w:val="24"/>
          <w:szCs w:val="24"/>
        </w:rPr>
        <w:t xml:space="preserve"> supletorio de primer grado</w:t>
      </w:r>
      <w:r w:rsidRPr="006730E3">
        <w:rPr>
          <w:rStyle w:val="Refdenotaalpie"/>
          <w:rFonts w:ascii="Calibri" w:hAnsi="Calibri" w:cs="Times New Roman"/>
          <w:sz w:val="24"/>
          <w:szCs w:val="24"/>
        </w:rPr>
        <w:footnoteReference w:id="21"/>
      </w:r>
      <w:r w:rsidRPr="006730E3">
        <w:rPr>
          <w:rFonts w:ascii="Calibri" w:hAnsi="Calibri" w:cs="Times New Roman"/>
          <w:sz w:val="24"/>
          <w:szCs w:val="24"/>
        </w:rPr>
        <w:t xml:space="preserve">. </w:t>
      </w:r>
    </w:p>
    <w:p w:rsidR="00673299" w:rsidRPr="006730E3" w:rsidRDefault="00C723C9"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La misma falta de solidez se observa en el </w:t>
      </w:r>
      <w:r w:rsidR="00100B33" w:rsidRPr="006730E3">
        <w:rPr>
          <w:rFonts w:ascii="Calibri" w:hAnsi="Calibri" w:cs="Times New Roman"/>
          <w:sz w:val="24"/>
          <w:szCs w:val="24"/>
        </w:rPr>
        <w:t>segundo</w:t>
      </w:r>
      <w:r w:rsidRPr="006730E3">
        <w:rPr>
          <w:rFonts w:ascii="Calibri" w:hAnsi="Calibri" w:cs="Times New Roman"/>
          <w:sz w:val="24"/>
          <w:szCs w:val="24"/>
        </w:rPr>
        <w:t xml:space="preserve"> razonamiento. Consideramos</w:t>
      </w:r>
      <w:r w:rsidR="00100B33" w:rsidRPr="006730E3">
        <w:rPr>
          <w:rFonts w:ascii="Calibri" w:hAnsi="Calibri" w:cs="Times New Roman"/>
          <w:sz w:val="24"/>
          <w:szCs w:val="24"/>
        </w:rPr>
        <w:t xml:space="preserve"> que el contenido de la DAT </w:t>
      </w:r>
      <w:r w:rsidR="00673299" w:rsidRPr="006730E3">
        <w:rPr>
          <w:rFonts w:ascii="Calibri" w:hAnsi="Calibri" w:cs="Times New Roman"/>
          <w:sz w:val="24"/>
          <w:szCs w:val="24"/>
        </w:rPr>
        <w:t>no lo explica una comparativa con otras legislaciones, sino que debe interpretarse dentro de su propio sistema.</w:t>
      </w:r>
      <w:r w:rsidR="00100B33" w:rsidRPr="006730E3">
        <w:rPr>
          <w:rFonts w:ascii="Calibri" w:hAnsi="Calibri" w:cs="Times New Roman"/>
          <w:sz w:val="24"/>
          <w:szCs w:val="24"/>
        </w:rPr>
        <w:t xml:space="preserve"> La referencia a otras regulaciones autonómicas </w:t>
      </w:r>
      <w:r w:rsidR="008F140C" w:rsidRPr="006730E3">
        <w:rPr>
          <w:rFonts w:ascii="Calibri" w:hAnsi="Calibri" w:cs="Times New Roman"/>
          <w:sz w:val="24"/>
          <w:szCs w:val="24"/>
        </w:rPr>
        <w:t xml:space="preserve">es </w:t>
      </w:r>
      <w:r w:rsidR="00100B33" w:rsidRPr="006730E3">
        <w:rPr>
          <w:rFonts w:ascii="Calibri" w:hAnsi="Calibri" w:cs="Times New Roman"/>
          <w:sz w:val="24"/>
          <w:szCs w:val="24"/>
        </w:rPr>
        <w:t>tan solo</w:t>
      </w:r>
      <w:r w:rsidR="008F140C" w:rsidRPr="006730E3">
        <w:rPr>
          <w:rFonts w:ascii="Calibri" w:hAnsi="Calibri" w:cs="Times New Roman"/>
          <w:sz w:val="24"/>
          <w:szCs w:val="24"/>
        </w:rPr>
        <w:t xml:space="preserve"> un indicador de la particularidad de la LDCG.</w:t>
      </w:r>
    </w:p>
    <w:p w:rsidR="001E3984" w:rsidRPr="006730E3" w:rsidRDefault="00100B33"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La alusión a la jurisprudencia del Tribunal Supremo </w:t>
      </w:r>
      <w:r w:rsidR="006400E4" w:rsidRPr="006730E3">
        <w:rPr>
          <w:rFonts w:ascii="Calibri" w:hAnsi="Calibri" w:cs="Times New Roman"/>
          <w:sz w:val="24"/>
          <w:szCs w:val="24"/>
        </w:rPr>
        <w:t>es también inoportuna</w:t>
      </w:r>
      <w:r w:rsidR="00AB4A9D" w:rsidRPr="006730E3">
        <w:rPr>
          <w:rFonts w:ascii="Calibri" w:hAnsi="Calibri" w:cs="Times New Roman"/>
          <w:sz w:val="24"/>
          <w:szCs w:val="24"/>
        </w:rPr>
        <w:t xml:space="preserve"> pues, como se ha señalado,</w:t>
      </w:r>
      <w:r w:rsidRPr="006730E3">
        <w:rPr>
          <w:rFonts w:ascii="Calibri" w:hAnsi="Calibri" w:cs="Times New Roman"/>
          <w:sz w:val="24"/>
          <w:szCs w:val="24"/>
        </w:rPr>
        <w:t xml:space="preserve"> tal doctrina </w:t>
      </w:r>
      <w:r w:rsidR="00AB4A9D" w:rsidRPr="006730E3">
        <w:rPr>
          <w:rFonts w:ascii="Calibri" w:hAnsi="Calibri" w:cs="Times New Roman"/>
          <w:sz w:val="24"/>
          <w:szCs w:val="24"/>
        </w:rPr>
        <w:t xml:space="preserve">no sólo </w:t>
      </w:r>
      <w:r w:rsidRPr="006730E3">
        <w:rPr>
          <w:rFonts w:ascii="Calibri" w:hAnsi="Calibri" w:cs="Times New Roman"/>
          <w:sz w:val="24"/>
          <w:szCs w:val="24"/>
        </w:rPr>
        <w:t xml:space="preserve">es </w:t>
      </w:r>
      <w:r w:rsidR="0080556C" w:rsidRPr="006730E3">
        <w:rPr>
          <w:rFonts w:ascii="Calibri" w:hAnsi="Calibri" w:cs="Times New Roman"/>
          <w:sz w:val="24"/>
          <w:szCs w:val="24"/>
        </w:rPr>
        <w:t>«</w:t>
      </w:r>
      <w:r w:rsidRPr="006730E3">
        <w:rPr>
          <w:rFonts w:ascii="Calibri" w:hAnsi="Calibri" w:cs="Times New Roman"/>
          <w:sz w:val="24"/>
          <w:szCs w:val="24"/>
        </w:rPr>
        <w:t>errática</w:t>
      </w:r>
      <w:r w:rsidR="00AB4A9D" w:rsidRPr="006730E3">
        <w:rPr>
          <w:rFonts w:ascii="Calibri" w:hAnsi="Calibri" w:cs="Times New Roman"/>
          <w:sz w:val="24"/>
          <w:szCs w:val="24"/>
        </w:rPr>
        <w:t xml:space="preserve"> y contradictoria</w:t>
      </w:r>
      <w:r w:rsidR="0080556C" w:rsidRPr="006730E3">
        <w:rPr>
          <w:rFonts w:ascii="Calibri" w:hAnsi="Calibri" w:cs="Times New Roman"/>
          <w:sz w:val="24"/>
          <w:szCs w:val="24"/>
        </w:rPr>
        <w:t>»</w:t>
      </w:r>
      <w:r w:rsidR="00AB4A9D" w:rsidRPr="006730E3">
        <w:rPr>
          <w:rStyle w:val="Refdenotaalpie"/>
          <w:rFonts w:ascii="Calibri" w:hAnsi="Calibri" w:cs="Times New Roman"/>
          <w:sz w:val="24"/>
          <w:szCs w:val="24"/>
        </w:rPr>
        <w:footnoteReference w:id="22"/>
      </w:r>
      <w:r w:rsidR="00AB4A9D" w:rsidRPr="006730E3">
        <w:rPr>
          <w:rFonts w:ascii="Calibri" w:hAnsi="Calibri" w:cs="Times New Roman"/>
          <w:sz w:val="24"/>
          <w:szCs w:val="24"/>
        </w:rPr>
        <w:t xml:space="preserve">, sino que se ha elaborado con relación a un régimen legal, el del </w:t>
      </w:r>
      <w:r w:rsidR="001E01C9" w:rsidRPr="006730E3">
        <w:rPr>
          <w:rFonts w:ascii="Calibri" w:hAnsi="Calibri" w:cs="Times New Roman"/>
          <w:sz w:val="24"/>
          <w:szCs w:val="24"/>
        </w:rPr>
        <w:t>CC</w:t>
      </w:r>
      <w:r w:rsidR="00AB4A9D" w:rsidRPr="006730E3">
        <w:rPr>
          <w:rFonts w:ascii="Calibri" w:hAnsi="Calibri" w:cs="Times New Roman"/>
          <w:sz w:val="24"/>
          <w:szCs w:val="24"/>
        </w:rPr>
        <w:t>, que no realiza</w:t>
      </w:r>
      <w:r w:rsidR="00670FD5" w:rsidRPr="006730E3">
        <w:rPr>
          <w:rFonts w:ascii="Calibri" w:hAnsi="Calibri" w:cs="Times New Roman"/>
          <w:sz w:val="24"/>
          <w:szCs w:val="24"/>
        </w:rPr>
        <w:t xml:space="preserve"> equiparación entre matrimonio y pareja de hecho</w:t>
      </w:r>
      <w:r w:rsidR="00C0185A" w:rsidRPr="006730E3">
        <w:rPr>
          <w:rFonts w:ascii="Calibri" w:hAnsi="Calibri" w:cs="Times New Roman"/>
          <w:sz w:val="24"/>
          <w:szCs w:val="24"/>
        </w:rPr>
        <w:t xml:space="preserve"> a diferencia de la regulación de la LDCG; por ello no es extrapolable a este último sistema</w:t>
      </w:r>
      <w:r w:rsidR="000A5AF6" w:rsidRPr="006730E3">
        <w:rPr>
          <w:rStyle w:val="Refdenotaalpie"/>
          <w:rFonts w:ascii="Calibri" w:hAnsi="Calibri" w:cs="Times New Roman"/>
          <w:sz w:val="24"/>
          <w:szCs w:val="24"/>
        </w:rPr>
        <w:footnoteReference w:id="23"/>
      </w:r>
      <w:r w:rsidR="00670FD5" w:rsidRPr="006730E3">
        <w:rPr>
          <w:rFonts w:ascii="Calibri" w:hAnsi="Calibri" w:cs="Times New Roman"/>
          <w:sz w:val="24"/>
          <w:szCs w:val="24"/>
        </w:rPr>
        <w:t>.</w:t>
      </w:r>
    </w:p>
    <w:p w:rsidR="008F140C" w:rsidRPr="006730E3" w:rsidRDefault="008F140C"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Con relación a las dos últimas apreciaciones, de sobra es conocido que la sociedad de gananciales </w:t>
      </w:r>
      <w:r w:rsidR="007977B4" w:rsidRPr="006730E3">
        <w:rPr>
          <w:rFonts w:ascii="Calibri" w:hAnsi="Calibri" w:cs="Times New Roman"/>
          <w:sz w:val="24"/>
          <w:szCs w:val="24"/>
        </w:rPr>
        <w:t>no sólo es un conjunto de derechos y obligaciones</w:t>
      </w:r>
      <w:r w:rsidR="00D866C4" w:rsidRPr="006730E3">
        <w:rPr>
          <w:rFonts w:ascii="Calibri" w:hAnsi="Calibri" w:cs="Times New Roman"/>
          <w:sz w:val="24"/>
          <w:szCs w:val="24"/>
        </w:rPr>
        <w:t xml:space="preserve"> atinentes exclusivamente a los cónyuges</w:t>
      </w:r>
      <w:r w:rsidR="007977B4" w:rsidRPr="006730E3">
        <w:rPr>
          <w:rFonts w:ascii="Calibri" w:hAnsi="Calibri" w:cs="Times New Roman"/>
          <w:sz w:val="24"/>
          <w:szCs w:val="24"/>
        </w:rPr>
        <w:t xml:space="preserve">, sino que su virtualidad se proyecta en el tráfico jurídico </w:t>
      </w:r>
      <w:r w:rsidR="00D866C4" w:rsidRPr="006730E3">
        <w:rPr>
          <w:rFonts w:ascii="Calibri" w:hAnsi="Calibri" w:cs="Times New Roman"/>
          <w:sz w:val="24"/>
          <w:szCs w:val="24"/>
        </w:rPr>
        <w:t xml:space="preserve">y en las relaciones </w:t>
      </w:r>
      <w:r w:rsidR="007977B4" w:rsidRPr="006730E3">
        <w:rPr>
          <w:rFonts w:ascii="Calibri" w:hAnsi="Calibri" w:cs="Times New Roman"/>
          <w:sz w:val="24"/>
          <w:szCs w:val="24"/>
        </w:rPr>
        <w:t>con terceros</w:t>
      </w:r>
      <w:r w:rsidR="00D61A52" w:rsidRPr="006730E3">
        <w:rPr>
          <w:rFonts w:ascii="Calibri" w:hAnsi="Calibri" w:cs="Times New Roman"/>
          <w:sz w:val="24"/>
          <w:szCs w:val="24"/>
        </w:rPr>
        <w:t>.</w:t>
      </w:r>
      <w:r w:rsidR="00D866C4" w:rsidRPr="006730E3">
        <w:rPr>
          <w:rFonts w:ascii="Calibri" w:hAnsi="Calibri" w:cs="Times New Roman"/>
          <w:sz w:val="24"/>
          <w:szCs w:val="24"/>
        </w:rPr>
        <w:t xml:space="preserve"> </w:t>
      </w:r>
      <w:r w:rsidR="00D61A52" w:rsidRPr="006730E3">
        <w:rPr>
          <w:rFonts w:ascii="Calibri" w:hAnsi="Calibri" w:cs="Times New Roman"/>
          <w:sz w:val="24"/>
          <w:szCs w:val="24"/>
        </w:rPr>
        <w:t>D</w:t>
      </w:r>
      <w:r w:rsidR="00D866C4" w:rsidRPr="006730E3">
        <w:rPr>
          <w:rFonts w:ascii="Calibri" w:hAnsi="Calibri" w:cs="Times New Roman"/>
          <w:sz w:val="24"/>
          <w:szCs w:val="24"/>
        </w:rPr>
        <w:t>e ahí la incerteza jurídica</w:t>
      </w:r>
      <w:r w:rsidR="00D61A52" w:rsidRPr="006730E3">
        <w:rPr>
          <w:rFonts w:ascii="Calibri" w:hAnsi="Calibri" w:cs="Times New Roman"/>
          <w:sz w:val="24"/>
          <w:szCs w:val="24"/>
        </w:rPr>
        <w:t xml:space="preserve"> que se</w:t>
      </w:r>
      <w:r w:rsidR="0080556C" w:rsidRPr="006730E3">
        <w:rPr>
          <w:rFonts w:ascii="Calibri" w:hAnsi="Calibri" w:cs="Times New Roman"/>
          <w:sz w:val="24"/>
          <w:szCs w:val="24"/>
        </w:rPr>
        <w:t xml:space="preserve"> puede</w:t>
      </w:r>
      <w:r w:rsidR="00D61A52" w:rsidRPr="006730E3">
        <w:rPr>
          <w:rFonts w:ascii="Calibri" w:hAnsi="Calibri" w:cs="Times New Roman"/>
          <w:sz w:val="24"/>
          <w:szCs w:val="24"/>
        </w:rPr>
        <w:t xml:space="preserve"> producir por déficit de publicidad</w:t>
      </w:r>
      <w:r w:rsidR="007977B4" w:rsidRPr="006730E3">
        <w:rPr>
          <w:rStyle w:val="Refdenotaalpie"/>
          <w:rFonts w:ascii="Calibri" w:hAnsi="Calibri" w:cs="Times New Roman"/>
          <w:sz w:val="24"/>
          <w:szCs w:val="24"/>
        </w:rPr>
        <w:footnoteReference w:id="24"/>
      </w:r>
      <w:r w:rsidR="00D0413F" w:rsidRPr="006730E3">
        <w:rPr>
          <w:rFonts w:ascii="Calibri" w:hAnsi="Calibri" w:cs="Times New Roman"/>
          <w:sz w:val="24"/>
          <w:szCs w:val="24"/>
        </w:rPr>
        <w:t>;</w:t>
      </w:r>
      <w:r w:rsidR="00D61A52" w:rsidRPr="006730E3">
        <w:rPr>
          <w:rFonts w:ascii="Calibri" w:hAnsi="Calibri" w:cs="Times New Roman"/>
          <w:sz w:val="24"/>
          <w:szCs w:val="24"/>
        </w:rPr>
        <w:t xml:space="preserve"> </w:t>
      </w:r>
      <w:r w:rsidR="00D61A52" w:rsidRPr="006730E3">
        <w:rPr>
          <w:rFonts w:ascii="Calibri" w:hAnsi="Calibri" w:cs="Times New Roman"/>
          <w:sz w:val="24"/>
          <w:szCs w:val="24"/>
        </w:rPr>
        <w:lastRenderedPageBreak/>
        <w:t>cu</w:t>
      </w:r>
      <w:r w:rsidR="003718EB" w:rsidRPr="006730E3">
        <w:rPr>
          <w:rFonts w:ascii="Calibri" w:hAnsi="Calibri" w:cs="Times New Roman"/>
          <w:sz w:val="24"/>
          <w:szCs w:val="24"/>
        </w:rPr>
        <w:t>estión sobre la que volveremos</w:t>
      </w:r>
      <w:r w:rsidR="00D61A52" w:rsidRPr="006730E3">
        <w:rPr>
          <w:rFonts w:ascii="Calibri" w:hAnsi="Calibri" w:cs="Times New Roman"/>
          <w:sz w:val="24"/>
          <w:szCs w:val="24"/>
        </w:rPr>
        <w:t>.</w:t>
      </w:r>
      <w:r w:rsidR="00D866C4" w:rsidRPr="006730E3">
        <w:rPr>
          <w:rFonts w:ascii="Calibri" w:hAnsi="Calibri" w:cs="Times New Roman"/>
          <w:sz w:val="24"/>
          <w:szCs w:val="24"/>
        </w:rPr>
        <w:t xml:space="preserve"> </w:t>
      </w:r>
      <w:r w:rsidR="00D0413F" w:rsidRPr="006730E3">
        <w:rPr>
          <w:rFonts w:ascii="Calibri" w:hAnsi="Calibri" w:cs="Times New Roman"/>
          <w:sz w:val="24"/>
          <w:szCs w:val="24"/>
        </w:rPr>
        <w:t xml:space="preserve">Del mismo modo, cabría </w:t>
      </w:r>
      <w:r w:rsidR="00FF0D5F" w:rsidRPr="006730E3">
        <w:rPr>
          <w:rFonts w:ascii="Calibri" w:hAnsi="Calibri" w:cs="Times New Roman"/>
          <w:sz w:val="24"/>
          <w:szCs w:val="24"/>
        </w:rPr>
        <w:t>preguntarse</w:t>
      </w:r>
      <w:r w:rsidR="00D0413F" w:rsidRPr="006730E3">
        <w:rPr>
          <w:rFonts w:ascii="Calibri" w:hAnsi="Calibri" w:cs="Times New Roman"/>
          <w:sz w:val="24"/>
          <w:szCs w:val="24"/>
        </w:rPr>
        <w:t xml:space="preserve"> si la regulación de la DAT es respetuosa con la autonomía de la voluntad de la pareja; tema sobre el que se </w:t>
      </w:r>
      <w:r w:rsidR="00357BC5" w:rsidRPr="006730E3">
        <w:rPr>
          <w:rFonts w:ascii="Calibri" w:hAnsi="Calibri" w:cs="Times New Roman"/>
          <w:sz w:val="24"/>
          <w:szCs w:val="24"/>
        </w:rPr>
        <w:t>centrará</w:t>
      </w:r>
      <w:r w:rsidR="00D0413F" w:rsidRPr="006730E3">
        <w:rPr>
          <w:rFonts w:ascii="Calibri" w:hAnsi="Calibri" w:cs="Times New Roman"/>
          <w:sz w:val="24"/>
          <w:szCs w:val="24"/>
        </w:rPr>
        <w:t xml:space="preserve"> el presente estudio.</w:t>
      </w:r>
    </w:p>
    <w:p w:rsidR="00C969CC" w:rsidRPr="006730E3" w:rsidRDefault="00D01E3E" w:rsidP="00416B3A">
      <w:pPr>
        <w:spacing w:line="312" w:lineRule="auto"/>
        <w:jc w:val="both"/>
        <w:rPr>
          <w:rFonts w:ascii="Calibri" w:hAnsi="Calibri" w:cs="Times New Roman"/>
          <w:sz w:val="24"/>
          <w:szCs w:val="24"/>
        </w:rPr>
      </w:pPr>
      <w:r w:rsidRPr="006730E3">
        <w:rPr>
          <w:rFonts w:ascii="Calibri" w:hAnsi="Calibri" w:cs="Times New Roman"/>
          <w:sz w:val="24"/>
          <w:szCs w:val="24"/>
        </w:rPr>
        <w:t>D</w:t>
      </w:r>
      <w:r w:rsidR="00D0413F" w:rsidRPr="006730E3">
        <w:rPr>
          <w:rFonts w:ascii="Calibri" w:hAnsi="Calibri" w:cs="Times New Roman"/>
          <w:sz w:val="24"/>
          <w:szCs w:val="24"/>
        </w:rPr>
        <w:t>ebemos insistir que los</w:t>
      </w:r>
      <w:r w:rsidR="009E0FF3" w:rsidRPr="006730E3">
        <w:rPr>
          <w:rFonts w:ascii="Calibri" w:hAnsi="Calibri" w:cs="Times New Roman"/>
          <w:sz w:val="24"/>
          <w:szCs w:val="24"/>
        </w:rPr>
        <w:t xml:space="preserve"> comentarios de quienes niegan la aplicación de la sociedad de gananciales a la pareja de hecho </w:t>
      </w:r>
      <w:r w:rsidR="006A35A9" w:rsidRPr="006730E3">
        <w:rPr>
          <w:rFonts w:ascii="Calibri" w:hAnsi="Calibri" w:cs="Times New Roman"/>
          <w:sz w:val="24"/>
          <w:szCs w:val="24"/>
        </w:rPr>
        <w:t>en virtud de la</w:t>
      </w:r>
      <w:r w:rsidR="009E0FF3" w:rsidRPr="006730E3">
        <w:rPr>
          <w:rFonts w:ascii="Calibri" w:hAnsi="Calibri" w:cs="Times New Roman"/>
          <w:sz w:val="24"/>
          <w:szCs w:val="24"/>
        </w:rPr>
        <w:t xml:space="preserve"> DAT no son convincentes</w:t>
      </w:r>
      <w:r w:rsidR="00A27DFD" w:rsidRPr="006730E3">
        <w:rPr>
          <w:rFonts w:ascii="Calibri" w:hAnsi="Calibri" w:cs="Times New Roman"/>
          <w:sz w:val="24"/>
          <w:szCs w:val="24"/>
        </w:rPr>
        <w:t xml:space="preserve"> ni lo suficientemente consistentes para sustentar su </w:t>
      </w:r>
      <w:r w:rsidR="0080556C" w:rsidRPr="006730E3">
        <w:rPr>
          <w:rFonts w:ascii="Calibri" w:hAnsi="Calibri" w:cs="Times New Roman"/>
          <w:sz w:val="24"/>
          <w:szCs w:val="24"/>
        </w:rPr>
        <w:t>posición</w:t>
      </w:r>
      <w:r w:rsidR="00DA34D3" w:rsidRPr="006730E3">
        <w:rPr>
          <w:rFonts w:ascii="Calibri" w:hAnsi="Calibri" w:cs="Times New Roman"/>
          <w:sz w:val="24"/>
          <w:szCs w:val="24"/>
        </w:rPr>
        <w:t>,</w:t>
      </w:r>
      <w:r w:rsidR="00A27DFD" w:rsidRPr="006730E3">
        <w:rPr>
          <w:rFonts w:ascii="Calibri" w:hAnsi="Calibri" w:cs="Times New Roman"/>
          <w:sz w:val="24"/>
          <w:szCs w:val="24"/>
        </w:rPr>
        <w:t xml:space="preserve"> </w:t>
      </w:r>
      <w:r w:rsidR="00DA34D3" w:rsidRPr="006730E3">
        <w:rPr>
          <w:rFonts w:ascii="Calibri" w:hAnsi="Calibri" w:cs="Times New Roman"/>
          <w:sz w:val="24"/>
          <w:szCs w:val="24"/>
        </w:rPr>
        <w:t>aunque</w:t>
      </w:r>
      <w:r w:rsidR="00A27DFD" w:rsidRPr="006730E3">
        <w:rPr>
          <w:rFonts w:ascii="Calibri" w:hAnsi="Calibri" w:cs="Times New Roman"/>
          <w:sz w:val="24"/>
          <w:szCs w:val="24"/>
        </w:rPr>
        <w:t xml:space="preserve"> sí nos </w:t>
      </w:r>
      <w:r w:rsidR="00DA34D3" w:rsidRPr="006730E3">
        <w:rPr>
          <w:rFonts w:ascii="Calibri" w:hAnsi="Calibri" w:cs="Times New Roman"/>
          <w:sz w:val="24"/>
          <w:szCs w:val="24"/>
        </w:rPr>
        <w:t>conduzcan</w:t>
      </w:r>
      <w:r w:rsidR="00A27DFD" w:rsidRPr="006730E3">
        <w:rPr>
          <w:rFonts w:ascii="Calibri" w:hAnsi="Calibri" w:cs="Times New Roman"/>
          <w:sz w:val="24"/>
          <w:szCs w:val="24"/>
        </w:rPr>
        <w:t xml:space="preserve"> a </w:t>
      </w:r>
      <w:r w:rsidR="00FF0D5F" w:rsidRPr="006730E3">
        <w:rPr>
          <w:rFonts w:ascii="Calibri" w:hAnsi="Calibri" w:cs="Times New Roman"/>
          <w:sz w:val="24"/>
          <w:szCs w:val="24"/>
        </w:rPr>
        <w:t>suscribir</w:t>
      </w:r>
      <w:r w:rsidR="00A27DFD" w:rsidRPr="006730E3">
        <w:rPr>
          <w:rFonts w:ascii="Calibri" w:hAnsi="Calibri" w:cs="Times New Roman"/>
          <w:sz w:val="24"/>
          <w:szCs w:val="24"/>
        </w:rPr>
        <w:t xml:space="preserve"> que la DAT es una regulación</w:t>
      </w:r>
      <w:r w:rsidR="005A3773" w:rsidRPr="006730E3">
        <w:rPr>
          <w:rFonts w:ascii="Calibri" w:hAnsi="Calibri" w:cs="Times New Roman"/>
          <w:sz w:val="24"/>
          <w:szCs w:val="24"/>
        </w:rPr>
        <w:t xml:space="preserve"> cuyas consecuencias</w:t>
      </w:r>
      <w:r w:rsidR="00DA34D3" w:rsidRPr="006730E3">
        <w:rPr>
          <w:rFonts w:ascii="Calibri" w:hAnsi="Calibri" w:cs="Times New Roman"/>
          <w:sz w:val="24"/>
          <w:szCs w:val="24"/>
        </w:rPr>
        <w:t xml:space="preserve"> han sido escasamente meditadas</w:t>
      </w:r>
      <w:r w:rsidR="00AD3CF4" w:rsidRPr="006730E3">
        <w:rPr>
          <w:rFonts w:ascii="Calibri" w:hAnsi="Calibri" w:cs="Times New Roman"/>
          <w:sz w:val="24"/>
          <w:szCs w:val="24"/>
        </w:rPr>
        <w:t xml:space="preserve"> tal y como</w:t>
      </w:r>
      <w:r w:rsidR="00A27DFD" w:rsidRPr="006730E3">
        <w:rPr>
          <w:rFonts w:ascii="Calibri" w:hAnsi="Calibri" w:cs="Times New Roman"/>
          <w:sz w:val="24"/>
          <w:szCs w:val="24"/>
        </w:rPr>
        <w:t xml:space="preserve"> </w:t>
      </w:r>
      <w:r w:rsidR="00C41DDB" w:rsidRPr="006730E3">
        <w:rPr>
          <w:rFonts w:ascii="Calibri" w:hAnsi="Calibri" w:cs="Times New Roman"/>
          <w:sz w:val="24"/>
          <w:szCs w:val="24"/>
        </w:rPr>
        <w:t>apuntan</w:t>
      </w:r>
      <w:r w:rsidR="00A27DFD" w:rsidRPr="006730E3">
        <w:rPr>
          <w:rFonts w:ascii="Calibri" w:hAnsi="Calibri" w:cs="Times New Roman"/>
          <w:sz w:val="24"/>
          <w:szCs w:val="24"/>
        </w:rPr>
        <w:t xml:space="preserve"> sin excepción todos sus </w:t>
      </w:r>
      <w:r w:rsidR="00580CC4" w:rsidRPr="006730E3">
        <w:rPr>
          <w:rFonts w:ascii="Calibri" w:hAnsi="Calibri" w:cs="Times New Roman"/>
          <w:sz w:val="24"/>
          <w:szCs w:val="24"/>
        </w:rPr>
        <w:t>analistas</w:t>
      </w:r>
      <w:r w:rsidR="00A27DFD" w:rsidRPr="006730E3">
        <w:rPr>
          <w:rFonts w:ascii="Calibri" w:hAnsi="Calibri" w:cs="Times New Roman"/>
          <w:sz w:val="24"/>
          <w:szCs w:val="24"/>
        </w:rPr>
        <w:t xml:space="preserve">. </w:t>
      </w:r>
      <w:r w:rsidR="00C41DDB" w:rsidRPr="006730E3">
        <w:rPr>
          <w:rFonts w:ascii="Calibri" w:hAnsi="Calibri" w:cs="Times New Roman"/>
          <w:sz w:val="24"/>
          <w:szCs w:val="24"/>
        </w:rPr>
        <w:t>De esta forma</w:t>
      </w:r>
      <w:r w:rsidR="00A27DFD" w:rsidRPr="006730E3">
        <w:rPr>
          <w:rFonts w:ascii="Calibri" w:hAnsi="Calibri" w:cs="Times New Roman"/>
          <w:sz w:val="24"/>
          <w:szCs w:val="24"/>
        </w:rPr>
        <w:t xml:space="preserve">, en respuesta a los </w:t>
      </w:r>
      <w:r w:rsidR="006A35A9" w:rsidRPr="006730E3">
        <w:rPr>
          <w:rFonts w:ascii="Calibri" w:hAnsi="Calibri" w:cs="Times New Roman"/>
          <w:sz w:val="24"/>
          <w:szCs w:val="24"/>
        </w:rPr>
        <w:t>anteriores razonamientos</w:t>
      </w:r>
      <w:r w:rsidR="00A27DFD" w:rsidRPr="006730E3">
        <w:rPr>
          <w:rFonts w:ascii="Calibri" w:hAnsi="Calibri" w:cs="Times New Roman"/>
          <w:sz w:val="24"/>
          <w:szCs w:val="24"/>
        </w:rPr>
        <w:t xml:space="preserve">, cabría decir que una cosa es lo que la LDCG </w:t>
      </w:r>
      <w:r w:rsidR="005F6CE1" w:rsidRPr="006730E3">
        <w:rPr>
          <w:rFonts w:ascii="Calibri" w:hAnsi="Calibri" w:cs="Times New Roman"/>
          <w:sz w:val="24"/>
          <w:szCs w:val="24"/>
        </w:rPr>
        <w:t>dice</w:t>
      </w:r>
      <w:r w:rsidR="00A27DFD" w:rsidRPr="006730E3">
        <w:rPr>
          <w:rFonts w:ascii="Calibri" w:hAnsi="Calibri" w:cs="Times New Roman"/>
          <w:sz w:val="24"/>
          <w:szCs w:val="24"/>
        </w:rPr>
        <w:t xml:space="preserve"> y otra muy distinta lo que debería </w:t>
      </w:r>
      <w:r w:rsidR="005F6CE1" w:rsidRPr="006730E3">
        <w:rPr>
          <w:rFonts w:ascii="Calibri" w:hAnsi="Calibri" w:cs="Times New Roman"/>
          <w:sz w:val="24"/>
          <w:szCs w:val="24"/>
        </w:rPr>
        <w:t>decir</w:t>
      </w:r>
      <w:r w:rsidR="00A27DFD" w:rsidRPr="006730E3">
        <w:rPr>
          <w:rFonts w:ascii="Calibri" w:hAnsi="Calibri" w:cs="Times New Roman"/>
          <w:sz w:val="24"/>
          <w:szCs w:val="24"/>
        </w:rPr>
        <w:t xml:space="preserve"> (o gustaría que </w:t>
      </w:r>
      <w:r w:rsidR="005F6CE1" w:rsidRPr="006730E3">
        <w:rPr>
          <w:rFonts w:ascii="Calibri" w:hAnsi="Calibri" w:cs="Times New Roman"/>
          <w:sz w:val="24"/>
          <w:szCs w:val="24"/>
        </w:rPr>
        <w:t>dijese</w:t>
      </w:r>
      <w:r w:rsidR="00A27DFD" w:rsidRPr="006730E3">
        <w:rPr>
          <w:rFonts w:ascii="Calibri" w:hAnsi="Calibri" w:cs="Times New Roman"/>
          <w:sz w:val="24"/>
          <w:szCs w:val="24"/>
        </w:rPr>
        <w:t xml:space="preserve">). </w:t>
      </w:r>
      <w:r w:rsidR="00C41DDB" w:rsidRPr="006730E3">
        <w:rPr>
          <w:rFonts w:ascii="Calibri" w:hAnsi="Calibri" w:cs="Times New Roman"/>
          <w:sz w:val="24"/>
          <w:szCs w:val="24"/>
        </w:rPr>
        <w:t xml:space="preserve">En </w:t>
      </w:r>
      <w:r w:rsidR="00B77976" w:rsidRPr="006730E3">
        <w:rPr>
          <w:rFonts w:ascii="Calibri" w:hAnsi="Calibri" w:cs="Times New Roman"/>
          <w:sz w:val="24"/>
          <w:szCs w:val="24"/>
        </w:rPr>
        <w:t xml:space="preserve">palabras de </w:t>
      </w:r>
      <w:r w:rsidR="00B77976" w:rsidRPr="00626C45">
        <w:rPr>
          <w:rFonts w:ascii="Calibri" w:hAnsi="Calibri" w:cs="Times New Roman"/>
          <w:sz w:val="24"/>
          <w:szCs w:val="24"/>
        </w:rPr>
        <w:t>García Rubio</w:t>
      </w:r>
      <w:r w:rsidR="00B77976" w:rsidRPr="006730E3">
        <w:rPr>
          <w:rFonts w:ascii="Calibri" w:hAnsi="Calibri" w:cs="Times New Roman"/>
          <w:sz w:val="24"/>
          <w:szCs w:val="24"/>
        </w:rPr>
        <w:t>, a pesar de todos los inconvenientes prácticos</w:t>
      </w:r>
      <w:r w:rsidR="000B1CCD" w:rsidRPr="006730E3">
        <w:rPr>
          <w:rStyle w:val="Refdenotaalpie"/>
          <w:rFonts w:ascii="Calibri" w:hAnsi="Calibri" w:cs="Times New Roman"/>
          <w:sz w:val="24"/>
          <w:szCs w:val="24"/>
        </w:rPr>
        <w:footnoteReference w:id="25"/>
      </w:r>
      <w:r w:rsidR="00B77976" w:rsidRPr="006730E3">
        <w:rPr>
          <w:rFonts w:ascii="Calibri" w:hAnsi="Calibri" w:cs="Times New Roman"/>
          <w:sz w:val="24"/>
          <w:szCs w:val="24"/>
        </w:rPr>
        <w:t xml:space="preserve"> que tiene </w:t>
      </w:r>
      <w:r w:rsidR="006A35A9" w:rsidRPr="006730E3">
        <w:rPr>
          <w:rFonts w:ascii="Calibri" w:hAnsi="Calibri" w:cs="Times New Roman"/>
          <w:sz w:val="24"/>
          <w:szCs w:val="24"/>
        </w:rPr>
        <w:t>el sometimiento de las parejas de hecho a</w:t>
      </w:r>
      <w:r w:rsidR="00B77976" w:rsidRPr="006730E3">
        <w:rPr>
          <w:rFonts w:ascii="Calibri" w:hAnsi="Calibri" w:cs="Times New Roman"/>
          <w:sz w:val="24"/>
          <w:szCs w:val="24"/>
        </w:rPr>
        <w:t xml:space="preserve"> la sociedad de gananciales, «ello no desvirtúa lo que la ley dice, ni permite al operador jurídico sortear la norma legal por desacertada que le parezca»</w:t>
      </w:r>
      <w:r w:rsidR="00B77976" w:rsidRPr="006730E3">
        <w:rPr>
          <w:rStyle w:val="Refdenotaalpie"/>
          <w:rFonts w:ascii="Calibri" w:hAnsi="Calibri" w:cs="Times New Roman"/>
          <w:sz w:val="24"/>
          <w:szCs w:val="24"/>
        </w:rPr>
        <w:footnoteReference w:id="26"/>
      </w:r>
      <w:r w:rsidR="00B77976" w:rsidRPr="006730E3">
        <w:rPr>
          <w:rFonts w:ascii="Calibri" w:hAnsi="Calibri" w:cs="Times New Roman"/>
          <w:sz w:val="24"/>
          <w:szCs w:val="24"/>
        </w:rPr>
        <w:t>.</w:t>
      </w:r>
    </w:p>
    <w:p w:rsidR="002D715B" w:rsidRPr="006730E3" w:rsidRDefault="00D06E9E" w:rsidP="00416B3A">
      <w:pPr>
        <w:spacing w:line="312" w:lineRule="auto"/>
        <w:jc w:val="both"/>
        <w:rPr>
          <w:rFonts w:ascii="Calibri" w:hAnsi="Calibri" w:cs="Times New Roman"/>
          <w:sz w:val="24"/>
          <w:szCs w:val="24"/>
        </w:rPr>
      </w:pPr>
      <w:r w:rsidRPr="006730E3">
        <w:rPr>
          <w:rFonts w:ascii="Calibri" w:hAnsi="Calibri" w:cs="Times New Roman"/>
          <w:sz w:val="24"/>
          <w:szCs w:val="24"/>
        </w:rPr>
        <w:t>En cambio, merece un c</w:t>
      </w:r>
      <w:r w:rsidR="00581C8B" w:rsidRPr="006730E3">
        <w:rPr>
          <w:rFonts w:ascii="Calibri" w:hAnsi="Calibri" w:cs="Times New Roman"/>
          <w:sz w:val="24"/>
          <w:szCs w:val="24"/>
        </w:rPr>
        <w:t xml:space="preserve">omentario diametralmente </w:t>
      </w:r>
      <w:r w:rsidRPr="006730E3">
        <w:rPr>
          <w:rFonts w:ascii="Calibri" w:hAnsi="Calibri" w:cs="Times New Roman"/>
          <w:sz w:val="24"/>
          <w:szCs w:val="24"/>
        </w:rPr>
        <w:t>opuesto el desarrollo reglamentario realizado por el legislador gallego para la regulación del RPHG. Tal y como tendremos oportunidad de explicar, tal norma infringe el reparto de competencias que el art. 149.1.8ª de la Constitución española (en adelante, CE) establece entre el Estado y las Comunidades Autónomas</w:t>
      </w:r>
      <w:r w:rsidR="000F45F1" w:rsidRPr="006730E3">
        <w:rPr>
          <w:rFonts w:ascii="Calibri" w:hAnsi="Calibri" w:cs="Times New Roman"/>
          <w:sz w:val="24"/>
          <w:szCs w:val="24"/>
        </w:rPr>
        <w:t>, realizando precisiones y estableciendo requisitos no establecidos por la ley</w:t>
      </w:r>
      <w:r w:rsidR="002D715B" w:rsidRPr="006730E3">
        <w:rPr>
          <w:rFonts w:ascii="Calibri" w:hAnsi="Calibri" w:cs="Times New Roman"/>
          <w:sz w:val="24"/>
          <w:szCs w:val="24"/>
        </w:rPr>
        <w:t>. De ah</w:t>
      </w:r>
      <w:r w:rsidR="00550CE6" w:rsidRPr="006730E3">
        <w:rPr>
          <w:rFonts w:ascii="Calibri" w:hAnsi="Calibri" w:cs="Times New Roman"/>
          <w:sz w:val="24"/>
          <w:szCs w:val="24"/>
        </w:rPr>
        <w:t xml:space="preserve">í que, en el caso de que los tribunales </w:t>
      </w:r>
      <w:r w:rsidR="00D8611E" w:rsidRPr="006730E3">
        <w:rPr>
          <w:rFonts w:ascii="Calibri" w:hAnsi="Calibri" w:cs="Times New Roman"/>
          <w:sz w:val="24"/>
          <w:szCs w:val="24"/>
        </w:rPr>
        <w:t xml:space="preserve">conociesen de la misma, no podrían </w:t>
      </w:r>
      <w:r w:rsidR="00550CE6" w:rsidRPr="006730E3">
        <w:rPr>
          <w:rFonts w:ascii="Calibri" w:hAnsi="Calibri" w:cs="Times New Roman"/>
          <w:sz w:val="24"/>
          <w:szCs w:val="24"/>
        </w:rPr>
        <w:t>aplicar</w:t>
      </w:r>
      <w:r w:rsidR="00D8611E" w:rsidRPr="006730E3">
        <w:rPr>
          <w:rFonts w:ascii="Calibri" w:hAnsi="Calibri" w:cs="Times New Roman"/>
          <w:sz w:val="24"/>
          <w:szCs w:val="24"/>
        </w:rPr>
        <w:t>la</w:t>
      </w:r>
      <w:r w:rsidR="00550CE6" w:rsidRPr="006730E3">
        <w:rPr>
          <w:rFonts w:ascii="Calibri" w:hAnsi="Calibri" w:cs="Times New Roman"/>
          <w:sz w:val="24"/>
          <w:szCs w:val="24"/>
        </w:rPr>
        <w:t xml:space="preserve"> </w:t>
      </w:r>
      <w:r w:rsidR="00D8611E" w:rsidRPr="006730E3">
        <w:rPr>
          <w:rFonts w:ascii="Calibri" w:hAnsi="Calibri" w:cs="Times New Roman"/>
          <w:sz w:val="24"/>
          <w:szCs w:val="24"/>
        </w:rPr>
        <w:t>sino que tendrían que</w:t>
      </w:r>
      <w:r w:rsidR="00550CE6" w:rsidRPr="006730E3">
        <w:rPr>
          <w:rFonts w:ascii="Calibri" w:hAnsi="Calibri" w:cs="Times New Roman"/>
          <w:sz w:val="24"/>
          <w:szCs w:val="24"/>
        </w:rPr>
        <w:t xml:space="preserve"> declarar su nulidad de pleno derecho</w:t>
      </w:r>
      <w:r w:rsidR="00550CE6" w:rsidRPr="006730E3">
        <w:rPr>
          <w:rStyle w:val="Refdenotaalpie"/>
          <w:rFonts w:ascii="Calibri" w:hAnsi="Calibri" w:cs="Times New Roman"/>
          <w:sz w:val="24"/>
          <w:szCs w:val="24"/>
        </w:rPr>
        <w:footnoteReference w:id="27"/>
      </w:r>
      <w:r w:rsidR="00550CE6" w:rsidRPr="006730E3">
        <w:rPr>
          <w:rFonts w:ascii="Calibri" w:hAnsi="Calibri" w:cs="Times New Roman"/>
          <w:sz w:val="24"/>
          <w:szCs w:val="24"/>
        </w:rPr>
        <w:t>.</w:t>
      </w:r>
      <w:r w:rsidR="005A5E22" w:rsidRPr="006730E3">
        <w:rPr>
          <w:rFonts w:ascii="Calibri" w:hAnsi="Calibri" w:cs="Times New Roman"/>
          <w:sz w:val="24"/>
          <w:szCs w:val="24"/>
        </w:rPr>
        <w:t xml:space="preserve"> </w:t>
      </w:r>
    </w:p>
    <w:p w:rsidR="00D67D92" w:rsidRPr="006730E3" w:rsidRDefault="00D67D92" w:rsidP="00416B3A">
      <w:pPr>
        <w:spacing w:line="312" w:lineRule="auto"/>
        <w:jc w:val="both"/>
        <w:rPr>
          <w:rFonts w:ascii="Calibri" w:hAnsi="Calibri" w:cs="Times New Roman"/>
          <w:sz w:val="24"/>
          <w:szCs w:val="24"/>
        </w:rPr>
      </w:pPr>
    </w:p>
    <w:p w:rsidR="00686588" w:rsidRPr="00A81597" w:rsidRDefault="00AD3CF4" w:rsidP="00416B3A">
      <w:pPr>
        <w:spacing w:line="312" w:lineRule="auto"/>
        <w:jc w:val="both"/>
        <w:rPr>
          <w:rFonts w:ascii="Calibri" w:hAnsi="Calibri" w:cs="Times New Roman"/>
          <w:sz w:val="24"/>
          <w:szCs w:val="24"/>
        </w:rPr>
      </w:pPr>
      <w:r w:rsidRPr="00A81597">
        <w:rPr>
          <w:rFonts w:ascii="Calibri" w:hAnsi="Calibri" w:cs="Times New Roman"/>
          <w:sz w:val="24"/>
          <w:szCs w:val="24"/>
        </w:rPr>
        <w:t>1.2</w:t>
      </w:r>
      <w:r w:rsidR="00686588" w:rsidRPr="00A81597">
        <w:rPr>
          <w:rFonts w:ascii="Calibri" w:hAnsi="Calibri" w:cs="Times New Roman"/>
          <w:sz w:val="24"/>
          <w:szCs w:val="24"/>
        </w:rPr>
        <w:t xml:space="preserve">. </w:t>
      </w:r>
      <w:r w:rsidR="00686588" w:rsidRPr="00A81597">
        <w:rPr>
          <w:rFonts w:ascii="Calibri" w:hAnsi="Calibri" w:cs="Times New Roman"/>
          <w:i/>
          <w:sz w:val="24"/>
          <w:szCs w:val="24"/>
        </w:rPr>
        <w:t>Mención a los escasos pronunciamientos jurisprudenciales en la materia</w:t>
      </w:r>
    </w:p>
    <w:p w:rsidR="0001653D" w:rsidRPr="006730E3" w:rsidRDefault="00AD3CF4"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En medio de esta controversia</w:t>
      </w:r>
      <w:r w:rsidR="00EF2429" w:rsidRPr="006730E3">
        <w:rPr>
          <w:rFonts w:ascii="Calibri" w:hAnsi="Calibri" w:cs="Times New Roman"/>
          <w:sz w:val="24"/>
          <w:szCs w:val="24"/>
        </w:rPr>
        <w:t>,</w:t>
      </w:r>
      <w:r w:rsidR="00D36E89" w:rsidRPr="006730E3">
        <w:rPr>
          <w:rFonts w:ascii="Calibri" w:hAnsi="Calibri" w:cs="Times New Roman"/>
          <w:sz w:val="24"/>
          <w:szCs w:val="24"/>
        </w:rPr>
        <w:t xml:space="preserve"> la jurisprudencia menor</w:t>
      </w:r>
      <w:r w:rsidR="00940C48" w:rsidRPr="006730E3">
        <w:rPr>
          <w:rFonts w:ascii="Calibri" w:hAnsi="Calibri" w:cs="Times New Roman"/>
          <w:sz w:val="24"/>
          <w:szCs w:val="24"/>
        </w:rPr>
        <w:t xml:space="preserve"> </w:t>
      </w:r>
      <w:r w:rsidR="00D36E89" w:rsidRPr="006730E3">
        <w:rPr>
          <w:rFonts w:ascii="Calibri" w:hAnsi="Calibri" w:cs="Times New Roman"/>
          <w:sz w:val="24"/>
          <w:szCs w:val="24"/>
        </w:rPr>
        <w:t>parece inclinarse</w:t>
      </w:r>
      <w:r w:rsidRPr="006730E3">
        <w:rPr>
          <w:rFonts w:ascii="Calibri" w:hAnsi="Calibri" w:cs="Times New Roman"/>
          <w:sz w:val="24"/>
          <w:szCs w:val="24"/>
        </w:rPr>
        <w:t xml:space="preserve"> </w:t>
      </w:r>
      <w:r w:rsidR="00D36E89" w:rsidRPr="006730E3">
        <w:rPr>
          <w:rFonts w:ascii="Calibri" w:hAnsi="Calibri" w:cs="Times New Roman"/>
          <w:sz w:val="24"/>
          <w:szCs w:val="24"/>
        </w:rPr>
        <w:t xml:space="preserve">hacia la aplicación del régimen de la sociedad de gananciales a la pareja de la DAT, si bien </w:t>
      </w:r>
      <w:r w:rsidR="00D766D2" w:rsidRPr="006730E3">
        <w:rPr>
          <w:rFonts w:ascii="Calibri" w:hAnsi="Calibri" w:cs="Times New Roman"/>
          <w:sz w:val="24"/>
          <w:szCs w:val="24"/>
        </w:rPr>
        <w:t>tenemos noticia de</w:t>
      </w:r>
      <w:r w:rsidR="00D36E89" w:rsidRPr="006730E3">
        <w:rPr>
          <w:rFonts w:ascii="Calibri" w:hAnsi="Calibri" w:cs="Times New Roman"/>
          <w:sz w:val="24"/>
          <w:szCs w:val="24"/>
        </w:rPr>
        <w:t xml:space="preserve"> una resolución que se </w:t>
      </w:r>
      <w:r w:rsidR="001A107B" w:rsidRPr="006730E3">
        <w:rPr>
          <w:rFonts w:ascii="Calibri" w:hAnsi="Calibri" w:cs="Times New Roman"/>
          <w:sz w:val="24"/>
          <w:szCs w:val="24"/>
        </w:rPr>
        <w:t>manifiesta</w:t>
      </w:r>
      <w:r w:rsidR="00D36E89" w:rsidRPr="006730E3">
        <w:rPr>
          <w:rFonts w:ascii="Calibri" w:hAnsi="Calibri" w:cs="Times New Roman"/>
          <w:sz w:val="24"/>
          <w:szCs w:val="24"/>
        </w:rPr>
        <w:t xml:space="preserve"> en sentido contrario</w:t>
      </w:r>
      <w:r w:rsidRPr="006730E3">
        <w:rPr>
          <w:rStyle w:val="Refdenotaalpie"/>
          <w:rFonts w:ascii="Calibri" w:hAnsi="Calibri" w:cs="Times New Roman"/>
          <w:sz w:val="24"/>
          <w:szCs w:val="24"/>
        </w:rPr>
        <w:footnoteReference w:id="28"/>
      </w:r>
      <w:r w:rsidR="00D36E89" w:rsidRPr="006730E3">
        <w:rPr>
          <w:rFonts w:ascii="Calibri" w:hAnsi="Calibri" w:cs="Times New Roman"/>
          <w:sz w:val="24"/>
          <w:szCs w:val="24"/>
        </w:rPr>
        <w:t xml:space="preserve">. En cualquier caso, los pronunciamientos en sentido afirmativo son escasos, </w:t>
      </w:r>
      <w:r w:rsidR="00A642DB" w:rsidRPr="006730E3">
        <w:rPr>
          <w:rFonts w:ascii="Calibri" w:hAnsi="Calibri" w:cs="Times New Roman"/>
          <w:sz w:val="24"/>
          <w:szCs w:val="24"/>
        </w:rPr>
        <w:t>la mayoría</w:t>
      </w:r>
      <w:r w:rsidR="00D36E89" w:rsidRPr="006730E3">
        <w:rPr>
          <w:rFonts w:ascii="Calibri" w:hAnsi="Calibri" w:cs="Times New Roman"/>
          <w:sz w:val="24"/>
          <w:szCs w:val="24"/>
        </w:rPr>
        <w:t xml:space="preserve"> de ellos han sido </w:t>
      </w:r>
      <w:r w:rsidR="00EF2429" w:rsidRPr="006730E3">
        <w:rPr>
          <w:rFonts w:ascii="Calibri" w:hAnsi="Calibri" w:cs="Times New Roman"/>
          <w:sz w:val="24"/>
          <w:szCs w:val="24"/>
        </w:rPr>
        <w:t>dictaminados</w:t>
      </w:r>
      <w:r w:rsidR="00D36E89" w:rsidRPr="006730E3">
        <w:rPr>
          <w:rFonts w:ascii="Calibri" w:hAnsi="Calibri" w:cs="Times New Roman"/>
          <w:sz w:val="24"/>
          <w:szCs w:val="24"/>
        </w:rPr>
        <w:t xml:space="preserve"> </w:t>
      </w:r>
      <w:proofErr w:type="spellStart"/>
      <w:r w:rsidR="00D36E89" w:rsidRPr="006730E3">
        <w:rPr>
          <w:rFonts w:ascii="Calibri" w:hAnsi="Calibri" w:cs="Times New Roman"/>
          <w:i/>
          <w:sz w:val="24"/>
          <w:szCs w:val="24"/>
        </w:rPr>
        <w:t>obiter</w:t>
      </w:r>
      <w:proofErr w:type="spellEnd"/>
      <w:r w:rsidR="00D36E89" w:rsidRPr="006730E3">
        <w:rPr>
          <w:rFonts w:ascii="Calibri" w:hAnsi="Calibri" w:cs="Times New Roman"/>
          <w:i/>
          <w:sz w:val="24"/>
          <w:szCs w:val="24"/>
        </w:rPr>
        <w:t xml:space="preserve"> dicta</w:t>
      </w:r>
      <w:r w:rsidR="00D36E89" w:rsidRPr="006730E3">
        <w:rPr>
          <w:rFonts w:ascii="Calibri" w:hAnsi="Calibri" w:cs="Times New Roman"/>
          <w:sz w:val="24"/>
          <w:szCs w:val="24"/>
        </w:rPr>
        <w:t xml:space="preserve"> y, en general, han tenido </w:t>
      </w:r>
      <w:r w:rsidR="00587833" w:rsidRPr="006730E3">
        <w:rPr>
          <w:rFonts w:ascii="Calibri" w:hAnsi="Calibri" w:cs="Times New Roman"/>
          <w:sz w:val="24"/>
          <w:szCs w:val="24"/>
        </w:rPr>
        <w:t>una</w:t>
      </w:r>
      <w:r w:rsidR="00D36E89" w:rsidRPr="006730E3">
        <w:rPr>
          <w:rFonts w:ascii="Calibri" w:hAnsi="Calibri" w:cs="Times New Roman"/>
          <w:sz w:val="24"/>
          <w:szCs w:val="24"/>
        </w:rPr>
        <w:t xml:space="preserve"> trascendencia</w:t>
      </w:r>
      <w:r w:rsidR="00EF2429" w:rsidRPr="006730E3">
        <w:rPr>
          <w:rFonts w:ascii="Calibri" w:hAnsi="Calibri" w:cs="Times New Roman"/>
          <w:sz w:val="24"/>
          <w:szCs w:val="24"/>
        </w:rPr>
        <w:t xml:space="preserve"> práctica </w:t>
      </w:r>
      <w:r w:rsidR="00587833" w:rsidRPr="006730E3">
        <w:rPr>
          <w:rFonts w:ascii="Calibri" w:hAnsi="Calibri" w:cs="Times New Roman"/>
          <w:sz w:val="24"/>
          <w:szCs w:val="24"/>
        </w:rPr>
        <w:t>limitada</w:t>
      </w:r>
      <w:r w:rsidR="00DD321E" w:rsidRPr="006730E3">
        <w:rPr>
          <w:rFonts w:ascii="Calibri" w:hAnsi="Calibri" w:cs="Times New Roman"/>
          <w:sz w:val="24"/>
          <w:szCs w:val="24"/>
        </w:rPr>
        <w:t xml:space="preserve"> y ceñida</w:t>
      </w:r>
      <w:r w:rsidR="00587833" w:rsidRPr="006730E3">
        <w:rPr>
          <w:rFonts w:ascii="Calibri" w:hAnsi="Calibri" w:cs="Times New Roman"/>
          <w:sz w:val="24"/>
          <w:szCs w:val="24"/>
        </w:rPr>
        <w:t xml:space="preserve"> a la relación </w:t>
      </w:r>
      <w:r w:rsidR="00587833" w:rsidRPr="006730E3">
        <w:rPr>
          <w:rFonts w:ascii="Calibri" w:hAnsi="Calibri" w:cs="Times New Roman"/>
          <w:i/>
          <w:sz w:val="24"/>
          <w:szCs w:val="24"/>
        </w:rPr>
        <w:t>inter partes</w:t>
      </w:r>
      <w:r w:rsidR="00550CE6" w:rsidRPr="006730E3">
        <w:rPr>
          <w:rFonts w:ascii="Calibri" w:hAnsi="Calibri" w:cs="Times New Roman"/>
          <w:i/>
          <w:sz w:val="24"/>
          <w:szCs w:val="24"/>
        </w:rPr>
        <w:t>,</w:t>
      </w:r>
      <w:r w:rsidR="00EF2429" w:rsidRPr="006730E3">
        <w:rPr>
          <w:rFonts w:ascii="Calibri" w:hAnsi="Calibri" w:cs="Times New Roman"/>
          <w:sz w:val="24"/>
          <w:szCs w:val="24"/>
        </w:rPr>
        <w:t xml:space="preserve"> </w:t>
      </w:r>
      <w:r w:rsidR="00587833" w:rsidRPr="006730E3">
        <w:rPr>
          <w:rFonts w:ascii="Calibri" w:hAnsi="Calibri" w:cs="Times New Roman"/>
          <w:sz w:val="24"/>
          <w:szCs w:val="24"/>
        </w:rPr>
        <w:t>sin que se</w:t>
      </w:r>
      <w:r w:rsidR="00EF2429" w:rsidRPr="006730E3">
        <w:rPr>
          <w:rFonts w:ascii="Calibri" w:hAnsi="Calibri" w:cs="Times New Roman"/>
          <w:sz w:val="24"/>
          <w:szCs w:val="24"/>
        </w:rPr>
        <w:t xml:space="preserve"> </w:t>
      </w:r>
      <w:r w:rsidR="00587833" w:rsidRPr="006730E3">
        <w:rPr>
          <w:rFonts w:ascii="Calibri" w:hAnsi="Calibri" w:cs="Times New Roman"/>
          <w:sz w:val="24"/>
          <w:szCs w:val="24"/>
        </w:rPr>
        <w:t>aborde</w:t>
      </w:r>
      <w:r w:rsidR="00EF2429" w:rsidRPr="006730E3">
        <w:rPr>
          <w:rFonts w:ascii="Calibri" w:hAnsi="Calibri" w:cs="Times New Roman"/>
          <w:sz w:val="24"/>
          <w:szCs w:val="24"/>
        </w:rPr>
        <w:t xml:space="preserve">n </w:t>
      </w:r>
      <w:r w:rsidR="00940C48" w:rsidRPr="006730E3">
        <w:rPr>
          <w:rFonts w:ascii="Calibri" w:hAnsi="Calibri" w:cs="Times New Roman"/>
          <w:sz w:val="24"/>
          <w:szCs w:val="24"/>
        </w:rPr>
        <w:t>escollos</w:t>
      </w:r>
      <w:r w:rsidR="00EF2429" w:rsidRPr="006730E3">
        <w:rPr>
          <w:rFonts w:ascii="Calibri" w:hAnsi="Calibri" w:cs="Times New Roman"/>
          <w:sz w:val="24"/>
          <w:szCs w:val="24"/>
        </w:rPr>
        <w:t xml:space="preserve"> más problem</w:t>
      </w:r>
      <w:r w:rsidR="00940C48" w:rsidRPr="006730E3">
        <w:rPr>
          <w:rFonts w:ascii="Calibri" w:hAnsi="Calibri" w:cs="Times New Roman"/>
          <w:sz w:val="24"/>
          <w:szCs w:val="24"/>
        </w:rPr>
        <w:t>ático</w:t>
      </w:r>
      <w:r w:rsidR="00EF2429" w:rsidRPr="006730E3">
        <w:rPr>
          <w:rFonts w:ascii="Calibri" w:hAnsi="Calibri" w:cs="Times New Roman"/>
          <w:sz w:val="24"/>
          <w:szCs w:val="24"/>
        </w:rPr>
        <w:t xml:space="preserve">s como, por ejemplo, los efectos que dicho régimen despliega </w:t>
      </w:r>
      <w:r w:rsidR="001A107B" w:rsidRPr="006730E3">
        <w:rPr>
          <w:rFonts w:ascii="Calibri" w:hAnsi="Calibri" w:cs="Times New Roman"/>
          <w:sz w:val="24"/>
          <w:szCs w:val="24"/>
        </w:rPr>
        <w:t>respecto de</w:t>
      </w:r>
      <w:r w:rsidR="0009186B" w:rsidRPr="006730E3">
        <w:rPr>
          <w:rFonts w:ascii="Calibri" w:hAnsi="Calibri" w:cs="Times New Roman"/>
          <w:sz w:val="24"/>
          <w:szCs w:val="24"/>
        </w:rPr>
        <w:t xml:space="preserve"> terceros. </w:t>
      </w:r>
      <w:r w:rsidR="00940C48" w:rsidRPr="006730E3">
        <w:rPr>
          <w:rFonts w:ascii="Calibri" w:hAnsi="Calibri" w:cs="Times New Roman"/>
          <w:sz w:val="24"/>
          <w:szCs w:val="24"/>
        </w:rPr>
        <w:t>Realizaremos el análisis por estricto orden cronológico.</w:t>
      </w:r>
    </w:p>
    <w:p w:rsidR="0001653D" w:rsidRPr="006730E3" w:rsidRDefault="00940C48"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primer lugar, procede citar brevemente la </w:t>
      </w:r>
      <w:r w:rsidR="008C3572" w:rsidRPr="006730E3">
        <w:rPr>
          <w:rFonts w:ascii="Calibri" w:hAnsi="Calibri" w:cs="Times New Roman"/>
          <w:sz w:val="24"/>
          <w:szCs w:val="24"/>
        </w:rPr>
        <w:t xml:space="preserve">Sentencia de la Audiencia Provincial (en adelante, </w:t>
      </w:r>
      <w:r w:rsidRPr="006730E3">
        <w:rPr>
          <w:rFonts w:ascii="Calibri" w:hAnsi="Calibri" w:cs="Times New Roman"/>
          <w:sz w:val="24"/>
          <w:szCs w:val="24"/>
        </w:rPr>
        <w:t>SAP</w:t>
      </w:r>
      <w:r w:rsidR="008C3572" w:rsidRPr="006730E3">
        <w:rPr>
          <w:rFonts w:ascii="Calibri" w:hAnsi="Calibri" w:cs="Times New Roman"/>
          <w:sz w:val="24"/>
          <w:szCs w:val="24"/>
        </w:rPr>
        <w:t>)</w:t>
      </w:r>
      <w:r w:rsidRPr="006730E3">
        <w:rPr>
          <w:rFonts w:ascii="Calibri" w:hAnsi="Calibri" w:cs="Times New Roman"/>
          <w:sz w:val="24"/>
          <w:szCs w:val="24"/>
        </w:rPr>
        <w:t xml:space="preserve"> de Huelva (Sección 1ª) de 19 de noviembre de 2009</w:t>
      </w:r>
      <w:r w:rsidR="000A3BDC" w:rsidRPr="006730E3">
        <w:rPr>
          <w:rStyle w:val="Refdenotaalpie"/>
          <w:rFonts w:ascii="Calibri" w:hAnsi="Calibri" w:cs="Times New Roman"/>
          <w:sz w:val="24"/>
          <w:szCs w:val="24"/>
        </w:rPr>
        <w:footnoteReference w:id="29"/>
      </w:r>
      <w:r w:rsidRPr="006730E3">
        <w:rPr>
          <w:rFonts w:ascii="Calibri" w:hAnsi="Calibri" w:cs="Times New Roman"/>
          <w:sz w:val="24"/>
          <w:szCs w:val="24"/>
        </w:rPr>
        <w:t>. Aunque, la aplicaci</w:t>
      </w:r>
      <w:r w:rsidR="000A3BDC" w:rsidRPr="006730E3">
        <w:rPr>
          <w:rFonts w:ascii="Calibri" w:hAnsi="Calibri" w:cs="Times New Roman"/>
          <w:sz w:val="24"/>
          <w:szCs w:val="24"/>
        </w:rPr>
        <w:t xml:space="preserve">ón de la DAT no entra en el caso de autos, </w:t>
      </w:r>
      <w:r w:rsidR="0009186B" w:rsidRPr="006730E3">
        <w:rPr>
          <w:rFonts w:ascii="Calibri" w:hAnsi="Calibri" w:cs="Times New Roman"/>
          <w:sz w:val="24"/>
          <w:szCs w:val="24"/>
        </w:rPr>
        <w:t xml:space="preserve">la Sala </w:t>
      </w:r>
      <w:r w:rsidR="000A3BDC" w:rsidRPr="006730E3">
        <w:rPr>
          <w:rFonts w:ascii="Calibri" w:hAnsi="Calibri" w:cs="Times New Roman"/>
          <w:sz w:val="24"/>
          <w:szCs w:val="24"/>
        </w:rPr>
        <w:t>cita la regulación</w:t>
      </w:r>
      <w:r w:rsidR="0001653D" w:rsidRPr="006730E3">
        <w:rPr>
          <w:rFonts w:ascii="Calibri" w:hAnsi="Calibri" w:cs="Times New Roman"/>
          <w:sz w:val="24"/>
          <w:szCs w:val="24"/>
        </w:rPr>
        <w:t xml:space="preserve"> gallega</w:t>
      </w:r>
      <w:r w:rsidR="000A3BDC" w:rsidRPr="006730E3">
        <w:rPr>
          <w:rFonts w:ascii="Calibri" w:hAnsi="Calibri" w:cs="Times New Roman"/>
          <w:sz w:val="24"/>
          <w:szCs w:val="24"/>
        </w:rPr>
        <w:t xml:space="preserve"> como un ejemplo de las diversas </w:t>
      </w:r>
      <w:r w:rsidR="0001653D" w:rsidRPr="006730E3">
        <w:rPr>
          <w:rFonts w:ascii="Calibri" w:hAnsi="Calibri" w:cs="Times New Roman"/>
          <w:sz w:val="24"/>
          <w:szCs w:val="24"/>
        </w:rPr>
        <w:t>leyes</w:t>
      </w:r>
      <w:r w:rsidR="000A3BDC" w:rsidRPr="006730E3">
        <w:rPr>
          <w:rFonts w:ascii="Calibri" w:hAnsi="Calibri" w:cs="Times New Roman"/>
          <w:sz w:val="24"/>
          <w:szCs w:val="24"/>
        </w:rPr>
        <w:t xml:space="preserve"> autonómicas que han procedido a regular las parejas de hecho a falta de una </w:t>
      </w:r>
      <w:r w:rsidR="0001653D" w:rsidRPr="006730E3">
        <w:rPr>
          <w:rFonts w:ascii="Calibri" w:hAnsi="Calibri" w:cs="Times New Roman"/>
          <w:sz w:val="24"/>
          <w:szCs w:val="24"/>
        </w:rPr>
        <w:t>norma</w:t>
      </w:r>
      <w:r w:rsidR="000A3BDC" w:rsidRPr="006730E3">
        <w:rPr>
          <w:rFonts w:ascii="Calibri" w:hAnsi="Calibri" w:cs="Times New Roman"/>
          <w:sz w:val="24"/>
          <w:szCs w:val="24"/>
        </w:rPr>
        <w:t xml:space="preserve"> estatal. A lo que ahora nos interesa, después de indicar que estas relaciones en pareja coinciden con el contenido sustancial de la unión matrimonial, </w:t>
      </w:r>
      <w:r w:rsidR="00A642DB" w:rsidRPr="006730E3">
        <w:rPr>
          <w:rFonts w:ascii="Calibri" w:hAnsi="Calibri" w:cs="Times New Roman"/>
          <w:sz w:val="24"/>
          <w:szCs w:val="24"/>
        </w:rPr>
        <w:t xml:space="preserve">la Audiencia </w:t>
      </w:r>
      <w:r w:rsidR="000A3BDC" w:rsidRPr="006730E3">
        <w:rPr>
          <w:rFonts w:ascii="Calibri" w:hAnsi="Calibri" w:cs="Times New Roman"/>
          <w:sz w:val="24"/>
          <w:szCs w:val="24"/>
        </w:rPr>
        <w:t>afirma que mediante la DAT «se asimila (a falta de pacto en contrario) el régimen económico de estas uniones de hecho»</w:t>
      </w:r>
      <w:r w:rsidR="0001653D" w:rsidRPr="006730E3">
        <w:rPr>
          <w:rStyle w:val="Refdenotaalpie"/>
          <w:rFonts w:ascii="Calibri" w:hAnsi="Calibri" w:cs="Times New Roman"/>
          <w:sz w:val="24"/>
          <w:szCs w:val="24"/>
        </w:rPr>
        <w:footnoteReference w:id="30"/>
      </w:r>
      <w:r w:rsidR="0001653D" w:rsidRPr="006730E3">
        <w:rPr>
          <w:rFonts w:ascii="Calibri" w:hAnsi="Calibri" w:cs="Times New Roman"/>
          <w:sz w:val="24"/>
          <w:szCs w:val="24"/>
        </w:rPr>
        <w:t>; entiéndase que se asimila al régimen de la sociedad de gananciales.</w:t>
      </w:r>
    </w:p>
    <w:p w:rsidR="0001653D" w:rsidRPr="006730E3" w:rsidRDefault="0001653D"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Más recientes </w:t>
      </w:r>
      <w:r w:rsidR="007E3012" w:rsidRPr="006730E3">
        <w:rPr>
          <w:rFonts w:ascii="Calibri" w:hAnsi="Calibri" w:cs="Times New Roman"/>
          <w:sz w:val="24"/>
          <w:szCs w:val="24"/>
        </w:rPr>
        <w:t>son las restantes resoluciones;</w:t>
      </w:r>
      <w:r w:rsidRPr="006730E3">
        <w:rPr>
          <w:rFonts w:ascii="Calibri" w:hAnsi="Calibri" w:cs="Times New Roman"/>
          <w:sz w:val="24"/>
          <w:szCs w:val="24"/>
        </w:rPr>
        <w:t xml:space="preserve"> todas emanadas de la </w:t>
      </w:r>
      <w:r w:rsidR="008C3572" w:rsidRPr="006730E3">
        <w:rPr>
          <w:rFonts w:ascii="Calibri" w:hAnsi="Calibri" w:cs="Times New Roman"/>
          <w:sz w:val="24"/>
          <w:szCs w:val="24"/>
        </w:rPr>
        <w:t>Audiencia</w:t>
      </w:r>
      <w:r w:rsidRPr="006730E3">
        <w:rPr>
          <w:rFonts w:ascii="Calibri" w:hAnsi="Calibri" w:cs="Times New Roman"/>
          <w:sz w:val="24"/>
          <w:szCs w:val="24"/>
        </w:rPr>
        <w:t xml:space="preserve"> de A Coruña, si bien de diferentes secciones. El</w:t>
      </w:r>
      <w:r w:rsidR="00AD3CF4" w:rsidRPr="006730E3">
        <w:rPr>
          <w:rFonts w:ascii="Calibri" w:hAnsi="Calibri" w:cs="Times New Roman"/>
          <w:sz w:val="24"/>
          <w:szCs w:val="24"/>
        </w:rPr>
        <w:t xml:space="preserve"> citado</w:t>
      </w:r>
      <w:r w:rsidRPr="006730E3">
        <w:rPr>
          <w:rFonts w:ascii="Calibri" w:hAnsi="Calibri" w:cs="Times New Roman"/>
          <w:sz w:val="24"/>
          <w:szCs w:val="24"/>
        </w:rPr>
        <w:t xml:space="preserve"> A</w:t>
      </w:r>
      <w:r w:rsidR="008C3572" w:rsidRPr="006730E3">
        <w:rPr>
          <w:rFonts w:ascii="Calibri" w:hAnsi="Calibri" w:cs="Times New Roman"/>
          <w:sz w:val="24"/>
          <w:szCs w:val="24"/>
        </w:rPr>
        <w:t xml:space="preserve">uto de la </w:t>
      </w:r>
      <w:r w:rsidRPr="006730E3">
        <w:rPr>
          <w:rFonts w:ascii="Calibri" w:hAnsi="Calibri" w:cs="Times New Roman"/>
          <w:sz w:val="24"/>
          <w:szCs w:val="24"/>
        </w:rPr>
        <w:t>A</w:t>
      </w:r>
      <w:r w:rsidR="008C3572" w:rsidRPr="006730E3">
        <w:rPr>
          <w:rFonts w:ascii="Calibri" w:hAnsi="Calibri" w:cs="Times New Roman"/>
          <w:sz w:val="24"/>
          <w:szCs w:val="24"/>
        </w:rPr>
        <w:t xml:space="preserve">udiencia </w:t>
      </w:r>
      <w:r w:rsidRPr="006730E3">
        <w:rPr>
          <w:rFonts w:ascii="Calibri" w:hAnsi="Calibri" w:cs="Times New Roman"/>
          <w:sz w:val="24"/>
          <w:szCs w:val="24"/>
        </w:rPr>
        <w:t>P</w:t>
      </w:r>
      <w:r w:rsidR="008C3572" w:rsidRPr="006730E3">
        <w:rPr>
          <w:rFonts w:ascii="Calibri" w:hAnsi="Calibri" w:cs="Times New Roman"/>
          <w:sz w:val="24"/>
          <w:szCs w:val="24"/>
        </w:rPr>
        <w:t>rovincial</w:t>
      </w:r>
      <w:r w:rsidRPr="006730E3">
        <w:rPr>
          <w:rFonts w:ascii="Calibri" w:hAnsi="Calibri" w:cs="Times New Roman"/>
          <w:sz w:val="24"/>
          <w:szCs w:val="24"/>
        </w:rPr>
        <w:t xml:space="preserve"> de A Coruña (Sección 6ª)</w:t>
      </w:r>
      <w:r w:rsidR="00AD3CF4" w:rsidRPr="006730E3">
        <w:rPr>
          <w:rFonts w:ascii="Calibri" w:hAnsi="Calibri" w:cs="Times New Roman"/>
          <w:sz w:val="24"/>
          <w:szCs w:val="24"/>
        </w:rPr>
        <w:t>,</w:t>
      </w:r>
      <w:r w:rsidRPr="006730E3">
        <w:rPr>
          <w:rFonts w:ascii="Calibri" w:hAnsi="Calibri" w:cs="Times New Roman"/>
          <w:sz w:val="24"/>
          <w:szCs w:val="24"/>
        </w:rPr>
        <w:t xml:space="preserve"> de 13 de marzo de 2017</w:t>
      </w:r>
      <w:r w:rsidR="00D93B38" w:rsidRPr="006730E3">
        <w:rPr>
          <w:rFonts w:ascii="Calibri" w:hAnsi="Calibri" w:cs="Times New Roman"/>
          <w:sz w:val="24"/>
          <w:szCs w:val="24"/>
        </w:rPr>
        <w:t>,</w:t>
      </w:r>
      <w:r w:rsidRPr="006730E3">
        <w:rPr>
          <w:rFonts w:ascii="Calibri" w:hAnsi="Calibri" w:cs="Times New Roman"/>
          <w:sz w:val="24"/>
          <w:szCs w:val="24"/>
        </w:rPr>
        <w:t xml:space="preserve"> </w:t>
      </w:r>
      <w:r w:rsidR="00D93B38" w:rsidRPr="006730E3">
        <w:rPr>
          <w:rFonts w:ascii="Calibri" w:hAnsi="Calibri" w:cs="Times New Roman"/>
          <w:sz w:val="24"/>
          <w:szCs w:val="24"/>
        </w:rPr>
        <w:t xml:space="preserve">que </w:t>
      </w:r>
      <w:r w:rsidRPr="006730E3">
        <w:rPr>
          <w:rFonts w:ascii="Calibri" w:hAnsi="Calibri" w:cs="Times New Roman"/>
          <w:sz w:val="24"/>
          <w:szCs w:val="24"/>
        </w:rPr>
        <w:t xml:space="preserve">resuelve un recurso de apelación interpuesto contra </w:t>
      </w:r>
      <w:r w:rsidR="00D93B38" w:rsidRPr="006730E3">
        <w:rPr>
          <w:rFonts w:ascii="Calibri" w:hAnsi="Calibri" w:cs="Times New Roman"/>
          <w:sz w:val="24"/>
          <w:szCs w:val="24"/>
        </w:rPr>
        <w:t>el auto dictado</w:t>
      </w:r>
      <w:r w:rsidRPr="006730E3">
        <w:rPr>
          <w:rFonts w:ascii="Calibri" w:hAnsi="Calibri" w:cs="Times New Roman"/>
          <w:sz w:val="24"/>
          <w:szCs w:val="24"/>
        </w:rPr>
        <w:t xml:space="preserve"> en primera instancia mediante </w:t>
      </w:r>
      <w:r w:rsidR="007E3012" w:rsidRPr="006730E3">
        <w:rPr>
          <w:rFonts w:ascii="Calibri" w:hAnsi="Calibri" w:cs="Times New Roman"/>
          <w:sz w:val="24"/>
          <w:szCs w:val="24"/>
        </w:rPr>
        <w:t>el</w:t>
      </w:r>
      <w:r w:rsidRPr="006730E3">
        <w:rPr>
          <w:rFonts w:ascii="Calibri" w:hAnsi="Calibri" w:cs="Times New Roman"/>
          <w:sz w:val="24"/>
          <w:szCs w:val="24"/>
        </w:rPr>
        <w:t xml:space="preserve"> que se </w:t>
      </w:r>
      <w:r w:rsidR="0009186B" w:rsidRPr="006730E3">
        <w:rPr>
          <w:rFonts w:ascii="Calibri" w:hAnsi="Calibri" w:cs="Times New Roman"/>
          <w:sz w:val="24"/>
          <w:szCs w:val="24"/>
        </w:rPr>
        <w:t>estimó</w:t>
      </w:r>
      <w:r w:rsidRPr="006730E3">
        <w:rPr>
          <w:rFonts w:ascii="Calibri" w:hAnsi="Calibri" w:cs="Times New Roman"/>
          <w:sz w:val="24"/>
          <w:szCs w:val="24"/>
        </w:rPr>
        <w:t xml:space="preserve"> la excepción procesal de inadecuación del procedimiento por razón de la materia</w:t>
      </w:r>
      <w:r w:rsidR="00D93B38" w:rsidRPr="006730E3">
        <w:rPr>
          <w:rFonts w:ascii="Calibri" w:hAnsi="Calibri" w:cs="Times New Roman"/>
          <w:sz w:val="24"/>
          <w:szCs w:val="24"/>
        </w:rPr>
        <w:t xml:space="preserve">, es la única resolución </w:t>
      </w:r>
      <w:r w:rsidR="00F46B8C" w:rsidRPr="006730E3">
        <w:rPr>
          <w:rFonts w:ascii="Calibri" w:hAnsi="Calibri" w:cs="Times New Roman"/>
          <w:sz w:val="24"/>
          <w:szCs w:val="24"/>
        </w:rPr>
        <w:t xml:space="preserve">examinada </w:t>
      </w:r>
      <w:r w:rsidR="00D93B38" w:rsidRPr="006730E3">
        <w:rPr>
          <w:rFonts w:ascii="Calibri" w:hAnsi="Calibri" w:cs="Times New Roman"/>
          <w:sz w:val="24"/>
          <w:szCs w:val="24"/>
        </w:rPr>
        <w:t>que viene a negar la aplicación del régimen de gananciales a la pareja de hecho</w:t>
      </w:r>
      <w:r w:rsidR="00166C57" w:rsidRPr="006730E3">
        <w:rPr>
          <w:rFonts w:ascii="Calibri" w:hAnsi="Calibri" w:cs="Times New Roman"/>
          <w:sz w:val="24"/>
          <w:szCs w:val="24"/>
        </w:rPr>
        <w:t>,</w:t>
      </w:r>
      <w:r w:rsidR="00D93B38" w:rsidRPr="006730E3">
        <w:rPr>
          <w:rFonts w:ascii="Calibri" w:hAnsi="Calibri" w:cs="Times New Roman"/>
          <w:sz w:val="24"/>
          <w:szCs w:val="24"/>
        </w:rPr>
        <w:t xml:space="preserve"> pero por una razón de forma, no de fondo</w:t>
      </w:r>
      <w:r w:rsidRPr="006730E3">
        <w:rPr>
          <w:rFonts w:ascii="Calibri" w:hAnsi="Calibri" w:cs="Times New Roman"/>
          <w:sz w:val="24"/>
          <w:szCs w:val="24"/>
        </w:rPr>
        <w:t>.</w:t>
      </w:r>
      <w:r w:rsidR="00D93B38" w:rsidRPr="006730E3">
        <w:rPr>
          <w:rFonts w:ascii="Calibri" w:hAnsi="Calibri" w:cs="Times New Roman"/>
          <w:sz w:val="24"/>
          <w:szCs w:val="24"/>
        </w:rPr>
        <w:t xml:space="preserve"> En efecto, en la instancia se seguía un procedimiento ordinario de división de la cosa común para proceder a la liquidación del régimen económico de la pareja de hecho, pero el juzgado estimó la mencionada excepción procesal y sobreseyó el procedimiento indicando a las partes que, en su caso, deberían acudir a un procedimiento de liquidación de sociedad de gananciales ante el juzgado competente.</w:t>
      </w:r>
    </w:p>
    <w:p w:rsidR="00D93B38" w:rsidRPr="006730E3" w:rsidRDefault="00D93B38" w:rsidP="00416B3A">
      <w:pPr>
        <w:spacing w:line="312" w:lineRule="auto"/>
        <w:jc w:val="both"/>
        <w:rPr>
          <w:rFonts w:ascii="Calibri" w:hAnsi="Calibri" w:cs="Times New Roman"/>
          <w:sz w:val="24"/>
          <w:szCs w:val="24"/>
        </w:rPr>
      </w:pPr>
      <w:r w:rsidRPr="006730E3">
        <w:rPr>
          <w:rFonts w:ascii="Calibri" w:hAnsi="Calibri" w:cs="Times New Roman"/>
          <w:sz w:val="24"/>
          <w:szCs w:val="24"/>
        </w:rPr>
        <w:t>Sin embargo, la Audiencia acoge los argumentos de la parte apelante</w:t>
      </w:r>
      <w:r w:rsidR="001D6896" w:rsidRPr="006730E3">
        <w:rPr>
          <w:rFonts w:ascii="Calibri" w:hAnsi="Calibri" w:cs="Times New Roman"/>
          <w:sz w:val="24"/>
          <w:szCs w:val="24"/>
        </w:rPr>
        <w:t>,</w:t>
      </w:r>
      <w:r w:rsidRPr="006730E3">
        <w:rPr>
          <w:rFonts w:ascii="Calibri" w:hAnsi="Calibri" w:cs="Times New Roman"/>
          <w:sz w:val="24"/>
          <w:szCs w:val="24"/>
        </w:rPr>
        <w:t xml:space="preserve"> y no los del juzgado de instancia, ordenando la continuación del procedimiento ordinario que se había iniciado en su momento. Según la Sala, del apartado tercero de la DAT se colige que </w:t>
      </w:r>
      <w:r w:rsidR="001D6896" w:rsidRPr="006730E3">
        <w:rPr>
          <w:rFonts w:ascii="Calibri" w:hAnsi="Calibri" w:cs="Times New Roman"/>
          <w:sz w:val="24"/>
          <w:szCs w:val="24"/>
        </w:rPr>
        <w:t xml:space="preserve">«la escritura pública se convierte en una forma </w:t>
      </w:r>
      <w:r w:rsidR="001D6896" w:rsidRPr="006730E3">
        <w:rPr>
          <w:rFonts w:ascii="Calibri" w:hAnsi="Calibri" w:cs="Times New Roman"/>
          <w:i/>
          <w:sz w:val="24"/>
          <w:szCs w:val="24"/>
        </w:rPr>
        <w:t xml:space="preserve">ad </w:t>
      </w:r>
      <w:proofErr w:type="spellStart"/>
      <w:r w:rsidR="001D6896" w:rsidRPr="006730E3">
        <w:rPr>
          <w:rFonts w:ascii="Calibri" w:hAnsi="Calibri" w:cs="Times New Roman"/>
          <w:i/>
          <w:sz w:val="24"/>
          <w:szCs w:val="24"/>
        </w:rPr>
        <w:t>solemnitatem</w:t>
      </w:r>
      <w:proofErr w:type="spellEnd"/>
      <w:r w:rsidR="001D6896" w:rsidRPr="006730E3">
        <w:rPr>
          <w:rFonts w:ascii="Calibri" w:hAnsi="Calibri" w:cs="Times New Roman"/>
          <w:sz w:val="24"/>
          <w:szCs w:val="24"/>
        </w:rPr>
        <w:t xml:space="preserve">, impuesta por la ley para la validez del acto </w:t>
      </w:r>
      <w:r w:rsidR="001D6896" w:rsidRPr="006730E3">
        <w:rPr>
          <w:rFonts w:ascii="Calibri" w:hAnsi="Calibri" w:cs="Times New Roman"/>
          <w:sz w:val="24"/>
          <w:szCs w:val="24"/>
        </w:rPr>
        <w:lastRenderedPageBreak/>
        <w:t xml:space="preserve">jurídico de constitución de un régimen económico análogo al matrimonial». Pero dado que se están ventilando cuestiones formales, va más allá y afirma que «aunque se defendiera la posición contraria», es decir, a pesar de que se entendiese aplicable la sociedad de gananciales a la pareja de la DAT, resultaría más que dudosa la competencia objetiva </w:t>
      </w:r>
      <w:r w:rsidR="00BF0A2C" w:rsidRPr="006730E3">
        <w:rPr>
          <w:rFonts w:ascii="Calibri" w:hAnsi="Calibri" w:cs="Times New Roman"/>
          <w:sz w:val="24"/>
          <w:szCs w:val="24"/>
        </w:rPr>
        <w:t xml:space="preserve">por razón de la materia </w:t>
      </w:r>
      <w:r w:rsidR="001D6896" w:rsidRPr="006730E3">
        <w:rPr>
          <w:rFonts w:ascii="Calibri" w:hAnsi="Calibri" w:cs="Times New Roman"/>
          <w:sz w:val="24"/>
          <w:szCs w:val="24"/>
        </w:rPr>
        <w:t>del juzgado encargado de los procedimientos relativos a la liquidación de cualquier régimen económico matrimonial</w:t>
      </w:r>
      <w:r w:rsidR="00BF0A2C" w:rsidRPr="006730E3">
        <w:rPr>
          <w:rFonts w:ascii="Calibri" w:hAnsi="Calibri" w:cs="Times New Roman"/>
          <w:sz w:val="24"/>
          <w:szCs w:val="24"/>
        </w:rPr>
        <w:t>; «requisito que no concurriría en el caso de autos, que sería, siguiendo esa hipótesis, la liquidación del régimen económico de una pareja de hecho».</w:t>
      </w:r>
    </w:p>
    <w:p w:rsidR="00BB6A52" w:rsidRPr="006730E3" w:rsidRDefault="00A83B7F" w:rsidP="00416B3A">
      <w:pPr>
        <w:spacing w:line="312" w:lineRule="auto"/>
        <w:jc w:val="both"/>
        <w:rPr>
          <w:rFonts w:ascii="Calibri" w:hAnsi="Calibri" w:cs="Times New Roman"/>
          <w:sz w:val="24"/>
          <w:szCs w:val="24"/>
        </w:rPr>
      </w:pPr>
      <w:r w:rsidRPr="006730E3">
        <w:rPr>
          <w:rFonts w:ascii="Calibri" w:hAnsi="Calibri" w:cs="Times New Roman"/>
          <w:sz w:val="24"/>
          <w:szCs w:val="24"/>
        </w:rPr>
        <w:t>S</w:t>
      </w:r>
      <w:r w:rsidR="00BF0A2C" w:rsidRPr="006730E3">
        <w:rPr>
          <w:rFonts w:ascii="Calibri" w:hAnsi="Calibri" w:cs="Times New Roman"/>
          <w:sz w:val="24"/>
          <w:szCs w:val="24"/>
        </w:rPr>
        <w:t xml:space="preserve">in perjuicio de que dejemos para más adelante la valoración que la Sala hace de la escritura pública como requisito </w:t>
      </w:r>
      <w:r w:rsidR="00BF0A2C" w:rsidRPr="006730E3">
        <w:rPr>
          <w:rFonts w:ascii="Calibri" w:hAnsi="Calibri" w:cs="Times New Roman"/>
          <w:i/>
          <w:sz w:val="24"/>
          <w:szCs w:val="24"/>
        </w:rPr>
        <w:t xml:space="preserve">ad </w:t>
      </w:r>
      <w:proofErr w:type="spellStart"/>
      <w:r w:rsidR="00BF0A2C" w:rsidRPr="006730E3">
        <w:rPr>
          <w:rFonts w:ascii="Calibri" w:hAnsi="Calibri" w:cs="Times New Roman"/>
          <w:i/>
          <w:sz w:val="24"/>
          <w:szCs w:val="24"/>
        </w:rPr>
        <w:t>solemnitatem</w:t>
      </w:r>
      <w:proofErr w:type="spellEnd"/>
      <w:r w:rsidR="00BF0A2C" w:rsidRPr="006730E3">
        <w:rPr>
          <w:rFonts w:ascii="Calibri" w:hAnsi="Calibri" w:cs="Times New Roman"/>
          <w:sz w:val="24"/>
          <w:szCs w:val="24"/>
        </w:rPr>
        <w:t xml:space="preserve"> para la validez del pacto </w:t>
      </w:r>
      <w:r w:rsidR="0009186B" w:rsidRPr="006730E3">
        <w:rPr>
          <w:rFonts w:ascii="Calibri" w:hAnsi="Calibri" w:cs="Times New Roman"/>
          <w:sz w:val="24"/>
          <w:szCs w:val="24"/>
        </w:rPr>
        <w:t>de</w:t>
      </w:r>
      <w:r w:rsidR="00BF0A2C" w:rsidRPr="006730E3">
        <w:rPr>
          <w:rFonts w:ascii="Calibri" w:hAnsi="Calibri" w:cs="Times New Roman"/>
          <w:sz w:val="24"/>
          <w:szCs w:val="24"/>
        </w:rPr>
        <w:t xml:space="preserve"> constitución de un régimen económico, </w:t>
      </w:r>
      <w:r w:rsidR="0053375A" w:rsidRPr="006730E3">
        <w:rPr>
          <w:rFonts w:ascii="Calibri" w:hAnsi="Calibri" w:cs="Times New Roman"/>
          <w:sz w:val="24"/>
          <w:szCs w:val="24"/>
        </w:rPr>
        <w:t xml:space="preserve">las últimas valoraciones de la Audiencia merecen </w:t>
      </w:r>
      <w:r w:rsidR="00955FB3" w:rsidRPr="006730E3">
        <w:rPr>
          <w:rFonts w:ascii="Calibri" w:hAnsi="Calibri" w:cs="Times New Roman"/>
          <w:sz w:val="24"/>
          <w:szCs w:val="24"/>
        </w:rPr>
        <w:t xml:space="preserve">un </w:t>
      </w:r>
      <w:r w:rsidRPr="006730E3">
        <w:rPr>
          <w:rFonts w:ascii="Calibri" w:hAnsi="Calibri" w:cs="Times New Roman"/>
          <w:sz w:val="24"/>
          <w:szCs w:val="24"/>
        </w:rPr>
        <w:t>pequeño comentario en cuanto parecen insinuar que,</w:t>
      </w:r>
      <w:r w:rsidR="00955FB3" w:rsidRPr="006730E3">
        <w:rPr>
          <w:rFonts w:ascii="Calibri" w:hAnsi="Calibri" w:cs="Times New Roman"/>
          <w:sz w:val="24"/>
          <w:szCs w:val="24"/>
        </w:rPr>
        <w:t xml:space="preserve"> </w:t>
      </w:r>
      <w:r w:rsidR="00DD321E" w:rsidRPr="006730E3">
        <w:rPr>
          <w:rFonts w:ascii="Calibri" w:hAnsi="Calibri" w:cs="Times New Roman"/>
          <w:sz w:val="24"/>
          <w:szCs w:val="24"/>
        </w:rPr>
        <w:t>incluso</w:t>
      </w:r>
      <w:r w:rsidRPr="006730E3">
        <w:rPr>
          <w:rFonts w:ascii="Calibri" w:hAnsi="Calibri" w:cs="Times New Roman"/>
          <w:sz w:val="24"/>
          <w:szCs w:val="24"/>
        </w:rPr>
        <w:t xml:space="preserve"> en el caso de que se considerase aplicable a la pa</w:t>
      </w:r>
      <w:r w:rsidR="0009186B" w:rsidRPr="006730E3">
        <w:rPr>
          <w:rFonts w:ascii="Calibri" w:hAnsi="Calibri" w:cs="Times New Roman"/>
          <w:sz w:val="24"/>
          <w:szCs w:val="24"/>
        </w:rPr>
        <w:t xml:space="preserve">reja las normas sustantivas de la sociedad </w:t>
      </w:r>
      <w:r w:rsidRPr="006730E3">
        <w:rPr>
          <w:rFonts w:ascii="Calibri" w:hAnsi="Calibri" w:cs="Times New Roman"/>
          <w:sz w:val="24"/>
          <w:szCs w:val="24"/>
        </w:rPr>
        <w:t xml:space="preserve">de gananciales, no se le aplicarían las normas adjetivas previstas para </w:t>
      </w:r>
      <w:r w:rsidR="0009186B" w:rsidRPr="006730E3">
        <w:rPr>
          <w:rFonts w:ascii="Calibri" w:hAnsi="Calibri" w:cs="Times New Roman"/>
          <w:sz w:val="24"/>
          <w:szCs w:val="24"/>
        </w:rPr>
        <w:t>la</w:t>
      </w:r>
      <w:r w:rsidRPr="006730E3">
        <w:rPr>
          <w:rFonts w:ascii="Calibri" w:hAnsi="Calibri" w:cs="Times New Roman"/>
          <w:sz w:val="24"/>
          <w:szCs w:val="24"/>
        </w:rPr>
        <w:t xml:space="preserve"> liquidación</w:t>
      </w:r>
      <w:r w:rsidR="0009186B" w:rsidRPr="006730E3">
        <w:rPr>
          <w:rFonts w:ascii="Calibri" w:hAnsi="Calibri" w:cs="Times New Roman"/>
          <w:sz w:val="24"/>
          <w:szCs w:val="24"/>
        </w:rPr>
        <w:t xml:space="preserve"> de dicho régimen</w:t>
      </w:r>
      <w:r w:rsidR="005243EA" w:rsidRPr="006730E3">
        <w:rPr>
          <w:rFonts w:ascii="Calibri" w:hAnsi="Calibri" w:cs="Times New Roman"/>
          <w:sz w:val="24"/>
          <w:szCs w:val="24"/>
        </w:rPr>
        <w:t xml:space="preserve">. En nuestra opinión, sí deberían aplicarse tales normas procesales de la liquidación porque, a pesar de que están pensadas para los regímenes económicos </w:t>
      </w:r>
      <w:r w:rsidR="005243EA" w:rsidRPr="006730E3">
        <w:rPr>
          <w:rFonts w:ascii="Calibri" w:hAnsi="Calibri" w:cs="Times New Roman"/>
          <w:i/>
          <w:sz w:val="24"/>
          <w:szCs w:val="24"/>
        </w:rPr>
        <w:t>matrimoniales</w:t>
      </w:r>
      <w:r w:rsidR="005243EA" w:rsidRPr="006730E3">
        <w:rPr>
          <w:rFonts w:ascii="Calibri" w:hAnsi="Calibri" w:cs="Times New Roman"/>
          <w:sz w:val="24"/>
          <w:szCs w:val="24"/>
        </w:rPr>
        <w:t xml:space="preserve">, los tribunales no pueden desconocer que una norma de rango legal y vigente determina la aplicación de uno de dichos regímenes a la pareja de la DAT. </w:t>
      </w:r>
      <w:r w:rsidR="008232E9" w:rsidRPr="006730E3">
        <w:rPr>
          <w:rFonts w:ascii="Calibri" w:hAnsi="Calibri" w:cs="Times New Roman"/>
          <w:sz w:val="24"/>
          <w:szCs w:val="24"/>
        </w:rPr>
        <w:t xml:space="preserve">Lo contrario no dejaría de ser artificioso. </w:t>
      </w:r>
      <w:r w:rsidR="00B57CC5" w:rsidRPr="006730E3">
        <w:rPr>
          <w:rFonts w:ascii="Calibri" w:hAnsi="Calibri" w:cs="Times New Roman"/>
          <w:sz w:val="24"/>
          <w:szCs w:val="24"/>
        </w:rPr>
        <w:t>En cualquier caso, esto no hace más que poner de manifiesto</w:t>
      </w:r>
      <w:r w:rsidR="00BB6A52" w:rsidRPr="006730E3">
        <w:rPr>
          <w:rFonts w:ascii="Calibri" w:hAnsi="Calibri" w:cs="Times New Roman"/>
          <w:sz w:val="24"/>
          <w:szCs w:val="24"/>
        </w:rPr>
        <w:t xml:space="preserve"> la inactividad del legislador estatal, quien parece haber dejado la regulación de las parejas no casadas en materias sobre las que él tiene competencias exclusivas, como la legislación procesal, </w:t>
      </w:r>
      <w:r w:rsidR="00BB6A52" w:rsidRPr="006730E3">
        <w:rPr>
          <w:rFonts w:ascii="Calibri" w:hAnsi="Calibri" w:cs="Times New Roman"/>
          <w:i/>
          <w:sz w:val="24"/>
          <w:szCs w:val="24"/>
        </w:rPr>
        <w:t>ad calendas graecas</w:t>
      </w:r>
      <w:r w:rsidR="0062736A" w:rsidRPr="006730E3">
        <w:rPr>
          <w:rStyle w:val="Refdenotaalpie"/>
          <w:rFonts w:ascii="Calibri" w:hAnsi="Calibri" w:cs="Times New Roman"/>
          <w:sz w:val="24"/>
          <w:szCs w:val="24"/>
        </w:rPr>
        <w:footnoteReference w:id="31"/>
      </w:r>
      <w:r w:rsidR="00814BC5" w:rsidRPr="006730E3">
        <w:rPr>
          <w:rFonts w:ascii="Calibri" w:hAnsi="Calibri" w:cs="Times New Roman"/>
          <w:sz w:val="24"/>
          <w:szCs w:val="24"/>
        </w:rPr>
        <w:t>.</w:t>
      </w:r>
      <w:r w:rsidR="00BB6A52" w:rsidRPr="006730E3">
        <w:rPr>
          <w:rFonts w:ascii="Calibri" w:hAnsi="Calibri" w:cs="Times New Roman"/>
          <w:sz w:val="24"/>
          <w:szCs w:val="24"/>
        </w:rPr>
        <w:t xml:space="preserve"> </w:t>
      </w:r>
      <w:r w:rsidR="00814BC5" w:rsidRPr="006730E3">
        <w:rPr>
          <w:rFonts w:ascii="Calibri" w:hAnsi="Calibri" w:cs="Times New Roman"/>
          <w:sz w:val="24"/>
          <w:szCs w:val="24"/>
        </w:rPr>
        <w:t xml:space="preserve">Tal situación posibilita </w:t>
      </w:r>
      <w:r w:rsidR="00BB6A52" w:rsidRPr="006730E3">
        <w:rPr>
          <w:rFonts w:ascii="Calibri" w:hAnsi="Calibri" w:cs="Times New Roman"/>
          <w:sz w:val="24"/>
          <w:szCs w:val="24"/>
        </w:rPr>
        <w:t>descoordinaciones como la que ejemplifica el auto que acabamos de comentar.</w:t>
      </w:r>
    </w:p>
    <w:p w:rsidR="00587833" w:rsidRPr="006730E3" w:rsidRDefault="007E3012" w:rsidP="00416B3A">
      <w:pPr>
        <w:spacing w:line="312" w:lineRule="auto"/>
        <w:jc w:val="both"/>
        <w:rPr>
          <w:rFonts w:ascii="Calibri" w:hAnsi="Calibri" w:cs="Times New Roman"/>
          <w:sz w:val="24"/>
          <w:szCs w:val="24"/>
        </w:rPr>
      </w:pPr>
      <w:r w:rsidRPr="006730E3">
        <w:rPr>
          <w:rFonts w:ascii="Calibri" w:hAnsi="Calibri" w:cs="Times New Roman"/>
          <w:sz w:val="24"/>
          <w:szCs w:val="24"/>
        </w:rPr>
        <w:t>La SAP de A Coruña (Sección 3ª) de 14 de marzo de 2018</w:t>
      </w:r>
      <w:r w:rsidR="00C732FC" w:rsidRPr="006730E3">
        <w:rPr>
          <w:rStyle w:val="Refdenotaalpie"/>
          <w:rFonts w:ascii="Calibri" w:hAnsi="Calibri" w:cs="Times New Roman"/>
          <w:sz w:val="24"/>
          <w:szCs w:val="24"/>
        </w:rPr>
        <w:footnoteReference w:id="32"/>
      </w:r>
      <w:r w:rsidR="00C732FC" w:rsidRPr="006730E3">
        <w:rPr>
          <w:rFonts w:ascii="Calibri" w:hAnsi="Calibri" w:cs="Times New Roman"/>
          <w:sz w:val="24"/>
          <w:szCs w:val="24"/>
        </w:rPr>
        <w:t xml:space="preserve"> </w:t>
      </w:r>
      <w:r w:rsidRPr="006730E3">
        <w:rPr>
          <w:rFonts w:ascii="Calibri" w:hAnsi="Calibri" w:cs="Times New Roman"/>
          <w:sz w:val="24"/>
          <w:szCs w:val="24"/>
        </w:rPr>
        <w:t>es</w:t>
      </w:r>
      <w:r w:rsidR="00C732FC" w:rsidRPr="006730E3">
        <w:rPr>
          <w:rFonts w:ascii="Calibri" w:hAnsi="Calibri" w:cs="Times New Roman"/>
          <w:sz w:val="24"/>
          <w:szCs w:val="24"/>
        </w:rPr>
        <w:t xml:space="preserve">, en cambio, de criterio contrario y versa </w:t>
      </w:r>
      <w:r w:rsidR="0009186B" w:rsidRPr="006730E3">
        <w:rPr>
          <w:rFonts w:ascii="Calibri" w:hAnsi="Calibri" w:cs="Times New Roman"/>
          <w:sz w:val="24"/>
          <w:szCs w:val="24"/>
        </w:rPr>
        <w:t xml:space="preserve">precisamente </w:t>
      </w:r>
      <w:r w:rsidR="00C732FC" w:rsidRPr="006730E3">
        <w:rPr>
          <w:rFonts w:ascii="Calibri" w:hAnsi="Calibri" w:cs="Times New Roman"/>
          <w:sz w:val="24"/>
          <w:szCs w:val="24"/>
        </w:rPr>
        <w:t xml:space="preserve">sobre la liquidación de la sociedad de gananciales de una pareja de hecho. En efecto, </w:t>
      </w:r>
      <w:r w:rsidR="0009186B" w:rsidRPr="006730E3">
        <w:rPr>
          <w:rFonts w:ascii="Calibri" w:hAnsi="Calibri" w:cs="Times New Roman"/>
          <w:sz w:val="24"/>
          <w:szCs w:val="24"/>
        </w:rPr>
        <w:t xml:space="preserve">sostiene </w:t>
      </w:r>
      <w:r w:rsidR="00C732FC" w:rsidRPr="006730E3">
        <w:rPr>
          <w:rFonts w:ascii="Calibri" w:hAnsi="Calibri" w:cs="Times New Roman"/>
          <w:sz w:val="24"/>
          <w:szCs w:val="24"/>
        </w:rPr>
        <w:t>que las partes del litigio</w:t>
      </w:r>
      <w:r w:rsidR="00587833" w:rsidRPr="006730E3">
        <w:rPr>
          <w:rFonts w:ascii="Calibri" w:hAnsi="Calibri" w:cs="Times New Roman"/>
          <w:sz w:val="24"/>
          <w:szCs w:val="24"/>
        </w:rPr>
        <w:t>,</w:t>
      </w:r>
      <w:r w:rsidR="00C732FC" w:rsidRPr="006730E3">
        <w:rPr>
          <w:rFonts w:ascii="Calibri" w:hAnsi="Calibri" w:cs="Times New Roman"/>
          <w:sz w:val="24"/>
          <w:szCs w:val="24"/>
        </w:rPr>
        <w:t xml:space="preserve"> </w:t>
      </w:r>
      <w:r w:rsidR="00587833" w:rsidRPr="006730E3">
        <w:rPr>
          <w:rFonts w:ascii="Calibri" w:hAnsi="Calibri" w:cs="Times New Roman"/>
          <w:sz w:val="24"/>
          <w:szCs w:val="24"/>
        </w:rPr>
        <w:t xml:space="preserve">«con el fin de regir su relación por el régimen económico de gananciales, al amparo de lo establecido en la [DAT], se inscribieron en el </w:t>
      </w:r>
      <w:r w:rsidR="00914C86" w:rsidRPr="006730E3">
        <w:rPr>
          <w:rFonts w:ascii="Calibri" w:hAnsi="Calibri" w:cs="Times New Roman"/>
          <w:sz w:val="24"/>
          <w:szCs w:val="24"/>
        </w:rPr>
        <w:t>[RPHG]</w:t>
      </w:r>
      <w:r w:rsidR="00587833" w:rsidRPr="006730E3">
        <w:rPr>
          <w:rFonts w:ascii="Calibri" w:hAnsi="Calibri" w:cs="Times New Roman"/>
          <w:sz w:val="24"/>
          <w:szCs w:val="24"/>
        </w:rPr>
        <w:t xml:space="preserve"> con efectos de 21 de enero de 2009»</w:t>
      </w:r>
      <w:r w:rsidR="00587833" w:rsidRPr="006730E3">
        <w:rPr>
          <w:rStyle w:val="Refdenotaalpie"/>
          <w:rFonts w:ascii="Calibri" w:hAnsi="Calibri" w:cs="Times New Roman"/>
          <w:sz w:val="24"/>
          <w:szCs w:val="24"/>
        </w:rPr>
        <w:footnoteReference w:id="33"/>
      </w:r>
      <w:r w:rsidR="00587833" w:rsidRPr="006730E3">
        <w:rPr>
          <w:rFonts w:ascii="Calibri" w:hAnsi="Calibri" w:cs="Times New Roman"/>
          <w:sz w:val="24"/>
          <w:szCs w:val="24"/>
        </w:rPr>
        <w:t xml:space="preserve"> y, posteriormente, vuelve a reiterar que «solamente una vez inscrita la pareja en ese registro único autonómico podrá </w:t>
      </w:r>
      <w:r w:rsidR="00587833" w:rsidRPr="006730E3">
        <w:rPr>
          <w:rFonts w:ascii="Calibri" w:hAnsi="Calibri" w:cs="Times New Roman"/>
          <w:sz w:val="24"/>
          <w:szCs w:val="24"/>
        </w:rPr>
        <w:lastRenderedPageBreak/>
        <w:t>aplicarse el régimen económico de gananciales. Por lo que la sociedad de gananciales nace a la vida jurídica el 21 de enero de 2009. Al igual que cualquier matrimonio»</w:t>
      </w:r>
      <w:r w:rsidR="00587833" w:rsidRPr="006730E3">
        <w:rPr>
          <w:rStyle w:val="Refdenotaalpie"/>
          <w:rFonts w:ascii="Calibri" w:hAnsi="Calibri" w:cs="Times New Roman"/>
          <w:sz w:val="24"/>
          <w:szCs w:val="24"/>
        </w:rPr>
        <w:footnoteReference w:id="34"/>
      </w:r>
      <w:r w:rsidR="00587833" w:rsidRPr="006730E3">
        <w:rPr>
          <w:rFonts w:ascii="Calibri" w:hAnsi="Calibri" w:cs="Times New Roman"/>
          <w:sz w:val="24"/>
          <w:szCs w:val="24"/>
        </w:rPr>
        <w:t>.</w:t>
      </w:r>
    </w:p>
    <w:p w:rsidR="00587833" w:rsidRPr="006730E3" w:rsidRDefault="00587833" w:rsidP="00416B3A">
      <w:pPr>
        <w:spacing w:line="312" w:lineRule="auto"/>
        <w:jc w:val="both"/>
        <w:rPr>
          <w:rFonts w:ascii="Calibri" w:hAnsi="Calibri" w:cs="Times New Roman"/>
          <w:sz w:val="24"/>
          <w:szCs w:val="24"/>
        </w:rPr>
      </w:pPr>
      <w:r w:rsidRPr="006730E3">
        <w:rPr>
          <w:rFonts w:ascii="Calibri" w:hAnsi="Calibri" w:cs="Times New Roman"/>
          <w:sz w:val="24"/>
          <w:szCs w:val="24"/>
        </w:rPr>
        <w:t>La SAP de A Coruña (Sección 4ª) de 4 de mayo de 2018</w:t>
      </w:r>
      <w:r w:rsidR="00914C86" w:rsidRPr="006730E3">
        <w:rPr>
          <w:rStyle w:val="Refdenotaalpie"/>
          <w:rFonts w:ascii="Calibri" w:hAnsi="Calibri" w:cs="Times New Roman"/>
          <w:sz w:val="24"/>
          <w:szCs w:val="24"/>
        </w:rPr>
        <w:footnoteReference w:id="35"/>
      </w:r>
      <w:r w:rsidR="00FC72B2" w:rsidRPr="006730E3">
        <w:rPr>
          <w:rFonts w:ascii="Calibri" w:hAnsi="Calibri" w:cs="Times New Roman"/>
          <w:sz w:val="24"/>
          <w:szCs w:val="24"/>
        </w:rPr>
        <w:t>, dictada en el seno de un procedimiento ordinario,</w:t>
      </w:r>
      <w:r w:rsidRPr="006730E3">
        <w:rPr>
          <w:rFonts w:ascii="Calibri" w:hAnsi="Calibri" w:cs="Times New Roman"/>
          <w:sz w:val="24"/>
          <w:szCs w:val="24"/>
        </w:rPr>
        <w:t xml:space="preserve"> conoc</w:t>
      </w:r>
      <w:r w:rsidR="00FC72B2" w:rsidRPr="006730E3">
        <w:rPr>
          <w:rFonts w:ascii="Calibri" w:hAnsi="Calibri" w:cs="Times New Roman"/>
          <w:sz w:val="24"/>
          <w:szCs w:val="24"/>
        </w:rPr>
        <w:t xml:space="preserve">e del </w:t>
      </w:r>
      <w:r w:rsidRPr="006730E3">
        <w:rPr>
          <w:rFonts w:ascii="Calibri" w:hAnsi="Calibri" w:cs="Times New Roman"/>
          <w:sz w:val="24"/>
          <w:szCs w:val="24"/>
        </w:rPr>
        <w:t>recurso de apelaci</w:t>
      </w:r>
      <w:r w:rsidR="00FC72B2" w:rsidRPr="006730E3">
        <w:rPr>
          <w:rFonts w:ascii="Calibri" w:hAnsi="Calibri" w:cs="Times New Roman"/>
          <w:sz w:val="24"/>
          <w:szCs w:val="24"/>
        </w:rPr>
        <w:t>ón</w:t>
      </w:r>
      <w:r w:rsidRPr="006730E3">
        <w:rPr>
          <w:rFonts w:ascii="Calibri" w:hAnsi="Calibri" w:cs="Times New Roman"/>
          <w:sz w:val="24"/>
          <w:szCs w:val="24"/>
        </w:rPr>
        <w:t xml:space="preserve"> interpuesto </w:t>
      </w:r>
      <w:r w:rsidR="00FC72B2" w:rsidRPr="006730E3">
        <w:rPr>
          <w:rFonts w:ascii="Calibri" w:hAnsi="Calibri" w:cs="Times New Roman"/>
          <w:sz w:val="24"/>
          <w:szCs w:val="24"/>
        </w:rPr>
        <w:t xml:space="preserve">por el que fue </w:t>
      </w:r>
      <w:r w:rsidR="00043162" w:rsidRPr="006730E3">
        <w:rPr>
          <w:rFonts w:ascii="Calibri" w:hAnsi="Calibri" w:cs="Times New Roman"/>
          <w:sz w:val="24"/>
          <w:szCs w:val="24"/>
        </w:rPr>
        <w:t xml:space="preserve">uno de los miembros de una pareja </w:t>
      </w:r>
      <w:r w:rsidR="00FC72B2" w:rsidRPr="006730E3">
        <w:rPr>
          <w:rFonts w:ascii="Calibri" w:hAnsi="Calibri" w:cs="Times New Roman"/>
          <w:sz w:val="24"/>
          <w:szCs w:val="24"/>
        </w:rPr>
        <w:t>de hecho en el que se</w:t>
      </w:r>
      <w:r w:rsidR="00043162" w:rsidRPr="006730E3">
        <w:rPr>
          <w:rFonts w:ascii="Calibri" w:hAnsi="Calibri" w:cs="Times New Roman"/>
          <w:sz w:val="24"/>
          <w:szCs w:val="24"/>
        </w:rPr>
        <w:t xml:space="preserve"> solicita la declaración de la existencia de una comunidad de bienes durante los veinticinco años que duró la relación afectiva y, más concretamente, la declaración de que el ajuar doméstico existente en el piso privativo de la parte apelada así como las obras realizadas en el mismo pertenecen por</w:t>
      </w:r>
      <w:r w:rsidR="00FC72B2" w:rsidRPr="006730E3">
        <w:rPr>
          <w:rFonts w:ascii="Calibri" w:hAnsi="Calibri" w:cs="Times New Roman"/>
          <w:sz w:val="24"/>
          <w:szCs w:val="24"/>
        </w:rPr>
        <w:t xml:space="preserve"> mitades a ambas partes.</w:t>
      </w:r>
    </w:p>
    <w:p w:rsidR="00922B62" w:rsidRPr="006730E3" w:rsidRDefault="00FC72B2" w:rsidP="00416B3A">
      <w:pPr>
        <w:spacing w:line="312" w:lineRule="auto"/>
        <w:jc w:val="both"/>
        <w:rPr>
          <w:rFonts w:ascii="Calibri" w:hAnsi="Calibri" w:cs="Times New Roman"/>
          <w:sz w:val="24"/>
          <w:szCs w:val="24"/>
        </w:rPr>
      </w:pPr>
      <w:r w:rsidRPr="006730E3">
        <w:rPr>
          <w:rFonts w:ascii="Calibri" w:hAnsi="Calibri" w:cs="Times New Roman"/>
          <w:sz w:val="24"/>
          <w:szCs w:val="24"/>
        </w:rPr>
        <w:t>La sentencia señala</w:t>
      </w:r>
      <w:r w:rsidR="00914C86" w:rsidRPr="006730E3">
        <w:rPr>
          <w:rFonts w:ascii="Calibri" w:hAnsi="Calibri" w:cs="Times New Roman"/>
          <w:sz w:val="24"/>
          <w:szCs w:val="24"/>
        </w:rPr>
        <w:t>, por un lado,</w:t>
      </w:r>
      <w:r w:rsidRPr="006730E3">
        <w:rPr>
          <w:rFonts w:ascii="Calibri" w:hAnsi="Calibri" w:cs="Times New Roman"/>
          <w:sz w:val="24"/>
          <w:szCs w:val="24"/>
        </w:rPr>
        <w:t xml:space="preserve"> </w:t>
      </w:r>
      <w:r w:rsidR="00914C86" w:rsidRPr="006730E3">
        <w:rPr>
          <w:rFonts w:ascii="Calibri" w:hAnsi="Calibri" w:cs="Times New Roman"/>
          <w:sz w:val="24"/>
          <w:szCs w:val="24"/>
        </w:rPr>
        <w:t xml:space="preserve">que </w:t>
      </w:r>
      <w:r w:rsidRPr="006730E3">
        <w:rPr>
          <w:rFonts w:ascii="Calibri" w:hAnsi="Calibri" w:cs="Times New Roman"/>
          <w:sz w:val="24"/>
          <w:szCs w:val="24"/>
        </w:rPr>
        <w:t xml:space="preserve">no es posible declarar la existencia de una </w:t>
      </w:r>
      <w:r w:rsidR="00914C86" w:rsidRPr="006730E3">
        <w:rPr>
          <w:rFonts w:ascii="Calibri" w:hAnsi="Calibri" w:cs="Times New Roman"/>
          <w:sz w:val="24"/>
          <w:szCs w:val="24"/>
        </w:rPr>
        <w:t xml:space="preserve">comunidad ordinaria </w:t>
      </w:r>
      <w:r w:rsidRPr="006730E3">
        <w:rPr>
          <w:rFonts w:ascii="Calibri" w:hAnsi="Calibri" w:cs="Times New Roman"/>
          <w:sz w:val="24"/>
          <w:szCs w:val="24"/>
        </w:rPr>
        <w:t>sobre las reformas de la vivienda, sin perjuicio</w:t>
      </w:r>
      <w:r w:rsidR="00914C86" w:rsidRPr="006730E3">
        <w:rPr>
          <w:rFonts w:ascii="Calibri" w:hAnsi="Calibri" w:cs="Times New Roman"/>
          <w:sz w:val="24"/>
          <w:szCs w:val="24"/>
        </w:rPr>
        <w:t xml:space="preserve"> del derecho de reintegro que el interesado puede, en su caso, esgrimir frente a la propiedad y, por otro lado, que no consta que los muebles de dicha vivienda hayan sido adquiridos conjuntamente por ambos litigantes.</w:t>
      </w:r>
    </w:p>
    <w:p w:rsidR="00FE5209" w:rsidRPr="006730E3" w:rsidRDefault="00914C86" w:rsidP="00416B3A">
      <w:pPr>
        <w:spacing w:line="312" w:lineRule="auto"/>
        <w:jc w:val="both"/>
        <w:rPr>
          <w:rFonts w:ascii="Calibri" w:hAnsi="Calibri" w:cs="Times New Roman"/>
          <w:sz w:val="24"/>
          <w:szCs w:val="24"/>
        </w:rPr>
      </w:pPr>
      <w:r w:rsidRPr="006730E3">
        <w:rPr>
          <w:rFonts w:ascii="Calibri" w:hAnsi="Calibri" w:cs="Times New Roman"/>
          <w:sz w:val="24"/>
          <w:szCs w:val="24"/>
        </w:rPr>
        <w:t>Sin embargo, y a pesar de desestimar el recurso y confirmar la sentencia de instancia, da ciertas pistas sobre cuál debería ser el cauce para dirimir las posibles controversias</w:t>
      </w:r>
      <w:r w:rsidR="00FE5209" w:rsidRPr="006730E3">
        <w:rPr>
          <w:rFonts w:ascii="Calibri" w:hAnsi="Calibri" w:cs="Times New Roman"/>
          <w:sz w:val="24"/>
          <w:szCs w:val="24"/>
        </w:rPr>
        <w:t xml:space="preserve"> existentes entre las partes: </w:t>
      </w:r>
    </w:p>
    <w:p w:rsidR="00922B62" w:rsidRPr="006730E3" w:rsidRDefault="00FE5209" w:rsidP="00416B3A">
      <w:pPr>
        <w:spacing w:line="312" w:lineRule="auto"/>
        <w:ind w:left="567"/>
        <w:jc w:val="both"/>
        <w:rPr>
          <w:rFonts w:ascii="Calibri" w:hAnsi="Calibri" w:cs="Times New Roman"/>
          <w:sz w:val="24"/>
          <w:szCs w:val="24"/>
        </w:rPr>
      </w:pPr>
      <w:r w:rsidRPr="006730E3">
        <w:rPr>
          <w:rFonts w:ascii="Calibri" w:hAnsi="Calibri" w:cs="Times New Roman"/>
          <w:sz w:val="24"/>
          <w:szCs w:val="24"/>
        </w:rPr>
        <w:t>«C</w:t>
      </w:r>
      <w:r w:rsidR="00914C86" w:rsidRPr="006730E3">
        <w:rPr>
          <w:rFonts w:ascii="Calibri" w:hAnsi="Calibri" w:cs="Times New Roman"/>
          <w:sz w:val="24"/>
          <w:szCs w:val="24"/>
        </w:rPr>
        <w:t>onviene, en todo caso, señalar que los litigantes se inscribieron como pareja de hecho en el [RPHG] en fecha 20 de enero de 2009 (documento nº. 1 de la demanda), con los efectos previstos en la [DAT], que equipara al matrimonio las relaciones maritales mantenidas con intención o vocación de permanencia, con lo cual se extienden a los miembros de la pareja los derechos y obligaciones que esta ley reconoce a los cónyuges. El artículo 171 de la Ley establece que el régimen económico matrimonial será el convenido por los cónyuges en capi</w:t>
      </w:r>
      <w:r w:rsidR="00E95B89" w:rsidRPr="006730E3">
        <w:rPr>
          <w:rFonts w:ascii="Calibri" w:hAnsi="Calibri" w:cs="Times New Roman"/>
          <w:sz w:val="24"/>
          <w:szCs w:val="24"/>
        </w:rPr>
        <w:t xml:space="preserve">tulaciones matrimoniales, y que </w:t>
      </w:r>
      <w:r w:rsidR="00914C86" w:rsidRPr="006730E3">
        <w:rPr>
          <w:rFonts w:ascii="Calibri" w:hAnsi="Calibri" w:cs="Times New Roman"/>
          <w:sz w:val="24"/>
          <w:szCs w:val="24"/>
        </w:rPr>
        <w:t>en defecto de convenio o ineficacia del mismo, el régimen será la sociedad de gananciales.</w:t>
      </w:r>
    </w:p>
    <w:p w:rsidR="00FE5209" w:rsidRPr="006730E3" w:rsidRDefault="00914C86" w:rsidP="00416B3A">
      <w:pPr>
        <w:spacing w:line="312" w:lineRule="auto"/>
        <w:ind w:left="567"/>
        <w:jc w:val="both"/>
        <w:rPr>
          <w:rFonts w:ascii="Calibri" w:hAnsi="Calibri" w:cs="Times New Roman"/>
          <w:sz w:val="24"/>
          <w:szCs w:val="24"/>
        </w:rPr>
      </w:pPr>
      <w:r w:rsidRPr="006730E3">
        <w:rPr>
          <w:rFonts w:ascii="Calibri" w:hAnsi="Calibri" w:cs="Times New Roman"/>
          <w:sz w:val="24"/>
          <w:szCs w:val="24"/>
        </w:rPr>
        <w:t xml:space="preserve">Así pues, en defecto de escritura pública en la que los miembros de la unión de hecho hayan convenido válidamente los pactos que estimen convenientes para regir sus relaciones económicas durante la convivencia y para liquidarlas tras su extinción [DAT apartado tercero], tras la inscripción de la unión de hecho en el Registro de Parejas de Hecho de Galicia, que tuvo lugar el 20 de enero de 2009, tales relaciones se regulan conforme a las normas de la sociedad de gananciales. Nuestra sentencia no prejuzga, </w:t>
      </w:r>
      <w:r w:rsidRPr="006730E3">
        <w:rPr>
          <w:rFonts w:ascii="Calibri" w:hAnsi="Calibri" w:cs="Times New Roman"/>
          <w:sz w:val="24"/>
          <w:szCs w:val="24"/>
        </w:rPr>
        <w:lastRenderedPageBreak/>
        <w:t>por lo tanto, la iniciativa que los antiguos miembros de la pareja de hecho puedan tomar en orden a la liquidación de las relaciones económicas correspondientes al periodo que media entre la inscripción en el Registro de Parejas de Hecho de Galicia y el cese de la convivencia»</w:t>
      </w:r>
      <w:r w:rsidR="00E5513C" w:rsidRPr="006730E3">
        <w:rPr>
          <w:rStyle w:val="Refdenotaalpie"/>
          <w:rFonts w:ascii="Calibri" w:hAnsi="Calibri" w:cs="Times New Roman"/>
          <w:sz w:val="24"/>
          <w:szCs w:val="24"/>
        </w:rPr>
        <w:footnoteReference w:id="36"/>
      </w:r>
      <w:r w:rsidRPr="006730E3">
        <w:rPr>
          <w:rFonts w:ascii="Calibri" w:hAnsi="Calibri" w:cs="Times New Roman"/>
          <w:sz w:val="24"/>
          <w:szCs w:val="24"/>
        </w:rPr>
        <w:t>.</w:t>
      </w:r>
      <w:r w:rsidR="00E5513C" w:rsidRPr="006730E3">
        <w:rPr>
          <w:rFonts w:ascii="Calibri" w:hAnsi="Calibri" w:cs="Times New Roman"/>
          <w:sz w:val="24"/>
          <w:szCs w:val="24"/>
        </w:rPr>
        <w:t xml:space="preserve"> </w:t>
      </w:r>
    </w:p>
    <w:p w:rsidR="009D6BE5" w:rsidRPr="006730E3" w:rsidRDefault="002A5E0E" w:rsidP="00416B3A">
      <w:pPr>
        <w:spacing w:line="312" w:lineRule="auto"/>
        <w:jc w:val="both"/>
        <w:rPr>
          <w:rFonts w:ascii="Calibri" w:hAnsi="Calibri" w:cs="Times New Roman"/>
          <w:sz w:val="24"/>
          <w:szCs w:val="24"/>
        </w:rPr>
      </w:pPr>
      <w:r w:rsidRPr="006730E3">
        <w:rPr>
          <w:rFonts w:ascii="Calibri" w:hAnsi="Calibri" w:cs="Times New Roman"/>
          <w:sz w:val="24"/>
          <w:szCs w:val="24"/>
        </w:rPr>
        <w:t>E</w:t>
      </w:r>
      <w:r w:rsidR="00E5513C" w:rsidRPr="006730E3">
        <w:rPr>
          <w:rFonts w:ascii="Calibri" w:hAnsi="Calibri" w:cs="Times New Roman"/>
          <w:sz w:val="24"/>
          <w:szCs w:val="24"/>
        </w:rPr>
        <w:t>stas mismas reflexiones son reiteradas literalmente</w:t>
      </w:r>
      <w:r w:rsidR="00922B62" w:rsidRPr="006730E3">
        <w:rPr>
          <w:rFonts w:ascii="Calibri" w:hAnsi="Calibri" w:cs="Times New Roman"/>
          <w:sz w:val="24"/>
          <w:szCs w:val="24"/>
        </w:rPr>
        <w:t xml:space="preserve"> </w:t>
      </w:r>
      <w:r w:rsidR="00E5513C" w:rsidRPr="006730E3">
        <w:rPr>
          <w:rFonts w:ascii="Calibri" w:hAnsi="Calibri" w:cs="Times New Roman"/>
          <w:sz w:val="24"/>
          <w:szCs w:val="24"/>
        </w:rPr>
        <w:t xml:space="preserve">por </w:t>
      </w:r>
      <w:r w:rsidR="00922B62" w:rsidRPr="006730E3">
        <w:rPr>
          <w:rFonts w:ascii="Calibri" w:hAnsi="Calibri" w:cs="Times New Roman"/>
          <w:sz w:val="24"/>
          <w:szCs w:val="24"/>
        </w:rPr>
        <w:t>la SAP de A Coruña (Sección 4ª) de 29 de junio de 2018</w:t>
      </w:r>
      <w:r w:rsidR="00E5513C" w:rsidRPr="006730E3">
        <w:rPr>
          <w:rStyle w:val="Refdenotaalpie"/>
          <w:rFonts w:ascii="Calibri" w:hAnsi="Calibri" w:cs="Times New Roman"/>
          <w:sz w:val="24"/>
          <w:szCs w:val="24"/>
        </w:rPr>
        <w:footnoteReference w:id="37"/>
      </w:r>
      <w:r w:rsidR="00E5513C" w:rsidRPr="006730E3">
        <w:rPr>
          <w:rFonts w:ascii="Calibri" w:hAnsi="Calibri" w:cs="Times New Roman"/>
          <w:sz w:val="24"/>
          <w:szCs w:val="24"/>
        </w:rPr>
        <w:t>.</w:t>
      </w:r>
    </w:p>
    <w:p w:rsidR="002A5E0E" w:rsidRPr="006730E3" w:rsidRDefault="002A5E0E"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Finalmente, y rompiendo el orden cronológico, </w:t>
      </w:r>
      <w:r w:rsidR="008943C3" w:rsidRPr="006730E3">
        <w:rPr>
          <w:rFonts w:ascii="Calibri" w:hAnsi="Calibri" w:cs="Times New Roman"/>
          <w:sz w:val="24"/>
          <w:szCs w:val="24"/>
        </w:rPr>
        <w:t xml:space="preserve">merece un comentario aparte </w:t>
      </w:r>
      <w:r w:rsidRPr="006730E3">
        <w:rPr>
          <w:rFonts w:ascii="Calibri" w:hAnsi="Calibri" w:cs="Times New Roman"/>
          <w:sz w:val="24"/>
          <w:szCs w:val="24"/>
        </w:rPr>
        <w:t>alguna apreciación vertida en esta materia por el Tribunal Superior de Justicia de Galicia (en adelante, TSJ Galicia)</w:t>
      </w:r>
      <w:r w:rsidR="008943C3" w:rsidRPr="006730E3">
        <w:rPr>
          <w:rFonts w:ascii="Calibri" w:hAnsi="Calibri" w:cs="Times New Roman"/>
          <w:sz w:val="24"/>
          <w:szCs w:val="24"/>
        </w:rPr>
        <w:t xml:space="preserve">. </w:t>
      </w:r>
      <w:r w:rsidRPr="006730E3">
        <w:rPr>
          <w:rFonts w:ascii="Calibri" w:hAnsi="Calibri" w:cs="Times New Roman"/>
          <w:sz w:val="24"/>
          <w:szCs w:val="24"/>
        </w:rPr>
        <w:t xml:space="preserve">Recordemos brevemente que el TSJ Galicia </w:t>
      </w:r>
      <w:r w:rsidR="00FE5209" w:rsidRPr="006730E3">
        <w:rPr>
          <w:rFonts w:ascii="Calibri" w:hAnsi="Calibri" w:cs="Times New Roman"/>
          <w:sz w:val="24"/>
          <w:szCs w:val="24"/>
        </w:rPr>
        <w:t>planteó</w:t>
      </w:r>
      <w:r w:rsidR="009D6BE5" w:rsidRPr="006730E3">
        <w:rPr>
          <w:rFonts w:ascii="Calibri" w:hAnsi="Calibri" w:cs="Times New Roman"/>
          <w:sz w:val="24"/>
          <w:szCs w:val="24"/>
        </w:rPr>
        <w:t xml:space="preserve"> </w:t>
      </w:r>
      <w:r w:rsidRPr="006730E3">
        <w:rPr>
          <w:rFonts w:ascii="Calibri" w:hAnsi="Calibri" w:cs="Times New Roman"/>
          <w:sz w:val="24"/>
          <w:szCs w:val="24"/>
        </w:rPr>
        <w:t>cuatro cuestiones de inconstitucionalidad</w:t>
      </w:r>
      <w:r w:rsidR="00FE5209" w:rsidRPr="006730E3">
        <w:rPr>
          <w:rFonts w:ascii="Calibri" w:hAnsi="Calibri" w:cs="Times New Roman"/>
          <w:sz w:val="24"/>
          <w:szCs w:val="24"/>
        </w:rPr>
        <w:t>, en relación con la adecuación de la LDCG a la CE y el reparto de competencias establecido en su art. 149.8ª,</w:t>
      </w:r>
      <w:r w:rsidRPr="006730E3">
        <w:rPr>
          <w:rFonts w:ascii="Calibri" w:hAnsi="Calibri" w:cs="Times New Roman"/>
          <w:sz w:val="24"/>
          <w:szCs w:val="24"/>
        </w:rPr>
        <w:t xml:space="preserve"> que </w:t>
      </w:r>
      <w:r w:rsidR="00FE5209" w:rsidRPr="006730E3">
        <w:rPr>
          <w:rFonts w:ascii="Calibri" w:hAnsi="Calibri" w:cs="Times New Roman"/>
          <w:sz w:val="24"/>
          <w:szCs w:val="24"/>
        </w:rPr>
        <w:t>fueron</w:t>
      </w:r>
      <w:r w:rsidRPr="006730E3">
        <w:rPr>
          <w:rFonts w:ascii="Calibri" w:hAnsi="Calibri" w:cs="Times New Roman"/>
          <w:sz w:val="24"/>
          <w:szCs w:val="24"/>
        </w:rPr>
        <w:t xml:space="preserve"> inadmitidas por el TC</w:t>
      </w:r>
      <w:r w:rsidR="008943C3" w:rsidRPr="006730E3">
        <w:rPr>
          <w:rFonts w:ascii="Calibri" w:hAnsi="Calibri" w:cs="Times New Roman"/>
          <w:sz w:val="24"/>
          <w:szCs w:val="24"/>
        </w:rPr>
        <w:t xml:space="preserve"> al no </w:t>
      </w:r>
      <w:r w:rsidR="000B6337" w:rsidRPr="006730E3">
        <w:rPr>
          <w:rFonts w:ascii="Calibri" w:hAnsi="Calibri" w:cs="Times New Roman"/>
          <w:sz w:val="24"/>
          <w:szCs w:val="24"/>
        </w:rPr>
        <w:t>considerar</w:t>
      </w:r>
      <w:r w:rsidR="008943C3" w:rsidRPr="006730E3">
        <w:rPr>
          <w:rFonts w:ascii="Calibri" w:hAnsi="Calibri" w:cs="Times New Roman"/>
          <w:sz w:val="24"/>
          <w:szCs w:val="24"/>
        </w:rPr>
        <w:t xml:space="preserve"> satisfecho los juicios de aplicabilidad y relevancia exigidos</w:t>
      </w:r>
      <w:r w:rsidR="008943C3" w:rsidRPr="006730E3">
        <w:rPr>
          <w:rStyle w:val="Refdenotaalpie"/>
          <w:rFonts w:ascii="Calibri" w:hAnsi="Calibri" w:cs="Times New Roman"/>
          <w:sz w:val="24"/>
          <w:szCs w:val="24"/>
        </w:rPr>
        <w:footnoteReference w:id="38"/>
      </w:r>
      <w:r w:rsidR="008943C3" w:rsidRPr="006730E3">
        <w:rPr>
          <w:rFonts w:ascii="Calibri" w:hAnsi="Calibri" w:cs="Times New Roman"/>
          <w:sz w:val="24"/>
          <w:szCs w:val="24"/>
        </w:rPr>
        <w:t>. De los cuatro autos por los que se plantean dichas cuestiones, nos interesa destacar el ATJS Galicia de 30, de junio de 2010</w:t>
      </w:r>
      <w:r w:rsidR="008943C3" w:rsidRPr="006730E3">
        <w:rPr>
          <w:rStyle w:val="Refdenotaalpie"/>
          <w:rFonts w:ascii="Calibri" w:hAnsi="Calibri" w:cs="Times New Roman"/>
          <w:sz w:val="24"/>
          <w:szCs w:val="24"/>
        </w:rPr>
        <w:footnoteReference w:id="39"/>
      </w:r>
      <w:r w:rsidR="008943C3" w:rsidRPr="006730E3">
        <w:rPr>
          <w:rFonts w:ascii="Calibri" w:hAnsi="Calibri" w:cs="Times New Roman"/>
          <w:sz w:val="24"/>
          <w:szCs w:val="24"/>
        </w:rPr>
        <w:t xml:space="preserve">, el cual deviene de un procedimiento en el que se discutía la aplicación del régimen de gananciales a una pareja no casada. Si bien se refiere a la DAT en su versión de 2006, señala que una sus relevantes consecuencias es </w:t>
      </w:r>
      <w:r w:rsidR="009D6BE5" w:rsidRPr="006730E3">
        <w:rPr>
          <w:rFonts w:ascii="Calibri" w:hAnsi="Calibri" w:cs="Times New Roman"/>
          <w:sz w:val="24"/>
          <w:szCs w:val="24"/>
        </w:rPr>
        <w:t xml:space="preserve">precisamente </w:t>
      </w:r>
      <w:r w:rsidR="008943C3" w:rsidRPr="006730E3">
        <w:rPr>
          <w:rFonts w:ascii="Calibri" w:hAnsi="Calibri" w:cs="Times New Roman"/>
          <w:sz w:val="24"/>
          <w:szCs w:val="24"/>
        </w:rPr>
        <w:t xml:space="preserve">la aplicación del art. 171 LDCG a la pareja. </w:t>
      </w:r>
      <w:r w:rsidR="009D6BE5" w:rsidRPr="006730E3">
        <w:rPr>
          <w:rFonts w:ascii="Calibri" w:hAnsi="Calibri" w:cs="Times New Roman"/>
          <w:sz w:val="24"/>
          <w:szCs w:val="24"/>
        </w:rPr>
        <w:t>Como consecuencia de la inadmisión de las cuestiones de inconstitucionalidad</w:t>
      </w:r>
      <w:r w:rsidRPr="006730E3">
        <w:rPr>
          <w:rFonts w:ascii="Calibri" w:hAnsi="Calibri" w:cs="Times New Roman"/>
          <w:sz w:val="24"/>
          <w:szCs w:val="24"/>
        </w:rPr>
        <w:t xml:space="preserve">, el </w:t>
      </w:r>
      <w:r w:rsidR="008943C3" w:rsidRPr="006730E3">
        <w:rPr>
          <w:rFonts w:ascii="Calibri" w:hAnsi="Calibri" w:cs="Times New Roman"/>
          <w:sz w:val="24"/>
          <w:szCs w:val="24"/>
        </w:rPr>
        <w:t>TSJ Galicia</w:t>
      </w:r>
      <w:r w:rsidRPr="006730E3">
        <w:rPr>
          <w:rFonts w:ascii="Calibri" w:hAnsi="Calibri" w:cs="Times New Roman"/>
          <w:sz w:val="24"/>
          <w:szCs w:val="24"/>
        </w:rPr>
        <w:t xml:space="preserve"> </w:t>
      </w:r>
      <w:r w:rsidR="009D6BE5" w:rsidRPr="006730E3">
        <w:rPr>
          <w:rFonts w:ascii="Calibri" w:hAnsi="Calibri" w:cs="Times New Roman"/>
          <w:sz w:val="24"/>
          <w:szCs w:val="24"/>
        </w:rPr>
        <w:t>dicta</w:t>
      </w:r>
      <w:r w:rsidRPr="006730E3">
        <w:rPr>
          <w:rFonts w:ascii="Calibri" w:hAnsi="Calibri" w:cs="Times New Roman"/>
          <w:sz w:val="24"/>
          <w:szCs w:val="24"/>
        </w:rPr>
        <w:t xml:space="preserve"> </w:t>
      </w:r>
      <w:r w:rsidR="009D6BE5" w:rsidRPr="006730E3">
        <w:rPr>
          <w:rFonts w:ascii="Calibri" w:hAnsi="Calibri" w:cs="Times New Roman"/>
          <w:sz w:val="24"/>
          <w:szCs w:val="24"/>
        </w:rPr>
        <w:t xml:space="preserve">posteriormente </w:t>
      </w:r>
      <w:r w:rsidRPr="006730E3">
        <w:rPr>
          <w:rFonts w:ascii="Calibri" w:hAnsi="Calibri" w:cs="Times New Roman"/>
          <w:sz w:val="24"/>
          <w:szCs w:val="24"/>
        </w:rPr>
        <w:t>cuatro sentencias en los procedimientos de los que deriv</w:t>
      </w:r>
      <w:r w:rsidR="008943C3" w:rsidRPr="006730E3">
        <w:rPr>
          <w:rFonts w:ascii="Calibri" w:hAnsi="Calibri" w:cs="Times New Roman"/>
          <w:sz w:val="24"/>
          <w:szCs w:val="24"/>
        </w:rPr>
        <w:t xml:space="preserve">aron las mencionadas </w:t>
      </w:r>
      <w:r w:rsidR="000B6337" w:rsidRPr="006730E3">
        <w:rPr>
          <w:rFonts w:ascii="Calibri" w:hAnsi="Calibri" w:cs="Times New Roman"/>
          <w:sz w:val="24"/>
          <w:szCs w:val="24"/>
        </w:rPr>
        <w:t>cuestiones. E</w:t>
      </w:r>
      <w:r w:rsidR="008943C3" w:rsidRPr="006730E3">
        <w:rPr>
          <w:rFonts w:ascii="Calibri" w:hAnsi="Calibri" w:cs="Times New Roman"/>
          <w:sz w:val="24"/>
          <w:szCs w:val="24"/>
        </w:rPr>
        <w:t>n el</w:t>
      </w:r>
      <w:r w:rsidR="009D6BE5" w:rsidRPr="006730E3">
        <w:rPr>
          <w:rFonts w:ascii="Calibri" w:hAnsi="Calibri" w:cs="Times New Roman"/>
          <w:sz w:val="24"/>
          <w:szCs w:val="24"/>
        </w:rPr>
        <w:t xml:space="preserve"> caso </w:t>
      </w:r>
      <w:r w:rsidR="000B6337" w:rsidRPr="006730E3">
        <w:rPr>
          <w:rFonts w:ascii="Calibri" w:hAnsi="Calibri" w:cs="Times New Roman"/>
          <w:sz w:val="24"/>
          <w:szCs w:val="24"/>
        </w:rPr>
        <w:t>al que</w:t>
      </w:r>
      <w:r w:rsidR="009D6BE5" w:rsidRPr="006730E3">
        <w:rPr>
          <w:rFonts w:ascii="Calibri" w:hAnsi="Calibri" w:cs="Times New Roman"/>
          <w:sz w:val="24"/>
          <w:szCs w:val="24"/>
        </w:rPr>
        <w:t xml:space="preserve"> ahora </w:t>
      </w:r>
      <w:r w:rsidR="000B6337" w:rsidRPr="006730E3">
        <w:rPr>
          <w:rFonts w:ascii="Calibri" w:hAnsi="Calibri" w:cs="Times New Roman"/>
          <w:sz w:val="24"/>
          <w:szCs w:val="24"/>
        </w:rPr>
        <w:t>nos referimos</w:t>
      </w:r>
      <w:r w:rsidRPr="006730E3">
        <w:rPr>
          <w:rFonts w:ascii="Calibri" w:hAnsi="Calibri" w:cs="Times New Roman"/>
          <w:sz w:val="24"/>
          <w:szCs w:val="24"/>
        </w:rPr>
        <w:t xml:space="preserve">, la </w:t>
      </w:r>
      <w:r w:rsidR="000B6337" w:rsidRPr="006730E3">
        <w:rPr>
          <w:rFonts w:ascii="Calibri" w:hAnsi="Calibri" w:cs="Times New Roman"/>
          <w:sz w:val="24"/>
          <w:szCs w:val="24"/>
        </w:rPr>
        <w:t>STSJ Galicia</w:t>
      </w:r>
      <w:r w:rsidRPr="006730E3">
        <w:rPr>
          <w:rFonts w:ascii="Calibri" w:hAnsi="Calibri" w:cs="Times New Roman"/>
          <w:sz w:val="24"/>
          <w:szCs w:val="24"/>
        </w:rPr>
        <w:t xml:space="preserve"> de 3 de junio de 2014</w:t>
      </w:r>
      <w:r w:rsidR="009D6BE5" w:rsidRPr="006730E3">
        <w:rPr>
          <w:rStyle w:val="Refdenotaalpie"/>
          <w:rFonts w:ascii="Calibri" w:hAnsi="Calibri" w:cs="Times New Roman"/>
          <w:sz w:val="24"/>
          <w:szCs w:val="24"/>
        </w:rPr>
        <w:footnoteReference w:id="40"/>
      </w:r>
      <w:r w:rsidRPr="006730E3">
        <w:rPr>
          <w:rFonts w:ascii="Calibri" w:hAnsi="Calibri" w:cs="Times New Roman"/>
          <w:sz w:val="24"/>
          <w:szCs w:val="24"/>
        </w:rPr>
        <w:t xml:space="preserve"> confirma la sentencia de apelación y </w:t>
      </w:r>
      <w:r w:rsidR="009D6BE5" w:rsidRPr="006730E3">
        <w:rPr>
          <w:rFonts w:ascii="Calibri" w:hAnsi="Calibri" w:cs="Times New Roman"/>
          <w:sz w:val="24"/>
          <w:szCs w:val="24"/>
        </w:rPr>
        <w:t>niega</w:t>
      </w:r>
      <w:r w:rsidRPr="006730E3">
        <w:rPr>
          <w:rFonts w:ascii="Calibri" w:hAnsi="Calibri" w:cs="Times New Roman"/>
          <w:sz w:val="24"/>
          <w:szCs w:val="24"/>
        </w:rPr>
        <w:t xml:space="preserve"> </w:t>
      </w:r>
      <w:r w:rsidR="009D6BE5" w:rsidRPr="006730E3">
        <w:rPr>
          <w:rFonts w:ascii="Calibri" w:hAnsi="Calibri" w:cs="Times New Roman"/>
          <w:sz w:val="24"/>
          <w:szCs w:val="24"/>
        </w:rPr>
        <w:t>la aplicación del régimen de sociedad de gananciales</w:t>
      </w:r>
      <w:r w:rsidR="000B6337" w:rsidRPr="006730E3">
        <w:rPr>
          <w:rFonts w:ascii="Calibri" w:hAnsi="Calibri" w:cs="Times New Roman"/>
          <w:sz w:val="24"/>
          <w:szCs w:val="24"/>
        </w:rPr>
        <w:t xml:space="preserve"> a la pareja. Pero debemos aclarar que la resolución no niega que de la DAT se derive la sujeción de la pareja no casada a dicho régimen, lo cual afirma en el auto al que hicimos referencia, sino que entiende que no es aplicable la DAT en su conjunto</w:t>
      </w:r>
      <w:r w:rsidR="00D8611E" w:rsidRPr="006730E3">
        <w:rPr>
          <w:rFonts w:ascii="Calibri" w:hAnsi="Calibri" w:cs="Times New Roman"/>
          <w:sz w:val="24"/>
          <w:szCs w:val="24"/>
        </w:rPr>
        <w:t xml:space="preserve"> con base en el concepto de irretroactividad de la norma que opta por manejar</w:t>
      </w:r>
      <w:r w:rsidRPr="006730E3">
        <w:rPr>
          <w:rFonts w:ascii="Calibri" w:hAnsi="Calibri" w:cs="Times New Roman"/>
          <w:sz w:val="24"/>
          <w:szCs w:val="24"/>
        </w:rPr>
        <w:t xml:space="preserve">. En el caso de autos, la </w:t>
      </w:r>
      <w:r w:rsidR="009D6BE5" w:rsidRPr="006730E3">
        <w:rPr>
          <w:rFonts w:ascii="Calibri" w:hAnsi="Calibri" w:cs="Times New Roman"/>
          <w:sz w:val="24"/>
          <w:szCs w:val="24"/>
        </w:rPr>
        <w:t>convivencia de la pareja se prolongó desde 1994 hasta</w:t>
      </w:r>
      <w:r w:rsidRPr="006730E3">
        <w:rPr>
          <w:rFonts w:ascii="Calibri" w:hAnsi="Calibri" w:cs="Times New Roman"/>
          <w:sz w:val="24"/>
          <w:szCs w:val="24"/>
        </w:rPr>
        <w:t xml:space="preserve"> agosto de 2006; un mes </w:t>
      </w:r>
      <w:r w:rsidR="00D8611E" w:rsidRPr="006730E3">
        <w:rPr>
          <w:rFonts w:ascii="Calibri" w:hAnsi="Calibri" w:cs="Times New Roman"/>
          <w:sz w:val="24"/>
          <w:szCs w:val="24"/>
        </w:rPr>
        <w:t>después</w:t>
      </w:r>
      <w:r w:rsidRPr="006730E3">
        <w:rPr>
          <w:rFonts w:ascii="Calibri" w:hAnsi="Calibri" w:cs="Times New Roman"/>
          <w:sz w:val="24"/>
          <w:szCs w:val="24"/>
        </w:rPr>
        <w:t xml:space="preserve"> de que entrase en vigor la DAT de 2006.</w:t>
      </w:r>
    </w:p>
    <w:p w:rsidR="0087444B" w:rsidRPr="006730E3" w:rsidRDefault="001A107B" w:rsidP="00416B3A">
      <w:pPr>
        <w:spacing w:line="312" w:lineRule="auto"/>
        <w:jc w:val="both"/>
        <w:rPr>
          <w:rFonts w:ascii="Calibri" w:hAnsi="Calibri" w:cs="Times New Roman"/>
          <w:sz w:val="24"/>
          <w:szCs w:val="24"/>
        </w:rPr>
      </w:pPr>
      <w:r w:rsidRPr="006730E3">
        <w:rPr>
          <w:rFonts w:ascii="Calibri" w:hAnsi="Calibri" w:cs="Times New Roman"/>
          <w:sz w:val="24"/>
          <w:szCs w:val="24"/>
        </w:rPr>
        <w:t>Realizadas todas estas consideraciones, y p</w:t>
      </w:r>
      <w:r w:rsidR="002A79E2" w:rsidRPr="006730E3">
        <w:rPr>
          <w:rFonts w:ascii="Calibri" w:hAnsi="Calibri" w:cs="Times New Roman"/>
          <w:sz w:val="24"/>
          <w:szCs w:val="24"/>
        </w:rPr>
        <w:t xml:space="preserve">artiendo </w:t>
      </w:r>
      <w:r w:rsidR="00CA7139" w:rsidRPr="006730E3">
        <w:rPr>
          <w:rFonts w:ascii="Calibri" w:hAnsi="Calibri" w:cs="Times New Roman"/>
          <w:sz w:val="24"/>
          <w:szCs w:val="24"/>
        </w:rPr>
        <w:t xml:space="preserve">de la base de que sí se aplica </w:t>
      </w:r>
      <w:r w:rsidR="005A3773" w:rsidRPr="006730E3">
        <w:rPr>
          <w:rFonts w:ascii="Calibri" w:hAnsi="Calibri" w:cs="Times New Roman"/>
          <w:sz w:val="24"/>
          <w:szCs w:val="24"/>
        </w:rPr>
        <w:t xml:space="preserve">el régimen de sociedad de gananciales </w:t>
      </w:r>
      <w:r w:rsidR="00CA7139" w:rsidRPr="006730E3">
        <w:rPr>
          <w:rFonts w:ascii="Calibri" w:hAnsi="Calibri" w:cs="Times New Roman"/>
          <w:sz w:val="24"/>
          <w:szCs w:val="24"/>
        </w:rPr>
        <w:t xml:space="preserve">a la pareja de hecho que reúna los requisitos de la DAT, </w:t>
      </w:r>
      <w:r w:rsidR="002336D2" w:rsidRPr="006730E3">
        <w:rPr>
          <w:rFonts w:ascii="Calibri" w:hAnsi="Calibri" w:cs="Times New Roman"/>
          <w:sz w:val="24"/>
          <w:szCs w:val="24"/>
        </w:rPr>
        <w:t>podemos dedicar las restantes páginas a tratar las dos cuestiones que justifican el presente trabajo</w:t>
      </w:r>
      <w:r w:rsidR="00CA7139" w:rsidRPr="006730E3">
        <w:rPr>
          <w:rFonts w:ascii="Calibri" w:hAnsi="Calibri" w:cs="Times New Roman"/>
          <w:sz w:val="24"/>
          <w:szCs w:val="24"/>
        </w:rPr>
        <w:t xml:space="preserve">. En primer lugar, dilucidar si tal regulación es respetuosa o no con </w:t>
      </w:r>
      <w:r w:rsidR="00CC5D96" w:rsidRPr="006730E3">
        <w:rPr>
          <w:rFonts w:ascii="Calibri" w:hAnsi="Calibri" w:cs="Times New Roman"/>
          <w:sz w:val="24"/>
          <w:szCs w:val="24"/>
        </w:rPr>
        <w:t xml:space="preserve">la </w:t>
      </w:r>
      <w:r w:rsidR="00536B4D" w:rsidRPr="006730E3">
        <w:rPr>
          <w:rFonts w:ascii="Calibri" w:hAnsi="Calibri" w:cs="Times New Roman"/>
          <w:sz w:val="24"/>
          <w:szCs w:val="24"/>
        </w:rPr>
        <w:t xml:space="preserve">libertad y </w:t>
      </w:r>
      <w:r w:rsidR="00CA7139" w:rsidRPr="006730E3">
        <w:rPr>
          <w:rFonts w:ascii="Calibri" w:hAnsi="Calibri" w:cs="Times New Roman"/>
          <w:sz w:val="24"/>
          <w:szCs w:val="24"/>
        </w:rPr>
        <w:t>la</w:t>
      </w:r>
      <w:r w:rsidR="00536B4D" w:rsidRPr="006730E3">
        <w:rPr>
          <w:rFonts w:ascii="Calibri" w:hAnsi="Calibri" w:cs="Times New Roman"/>
          <w:sz w:val="24"/>
          <w:szCs w:val="24"/>
        </w:rPr>
        <w:t xml:space="preserve"> autonomía individual</w:t>
      </w:r>
      <w:r w:rsidR="0087444B" w:rsidRPr="006730E3">
        <w:rPr>
          <w:rFonts w:ascii="Calibri" w:hAnsi="Calibri" w:cs="Times New Roman"/>
          <w:sz w:val="24"/>
          <w:szCs w:val="24"/>
        </w:rPr>
        <w:t xml:space="preserve"> </w:t>
      </w:r>
      <w:r w:rsidR="00CA7139" w:rsidRPr="006730E3">
        <w:rPr>
          <w:rFonts w:ascii="Calibri" w:hAnsi="Calibri" w:cs="Times New Roman"/>
          <w:sz w:val="24"/>
          <w:szCs w:val="24"/>
        </w:rPr>
        <w:t xml:space="preserve">de los miembros de la pareja para establecer los pactos reguladores de </w:t>
      </w:r>
      <w:r w:rsidR="00CA7139" w:rsidRPr="006730E3">
        <w:rPr>
          <w:rFonts w:ascii="Calibri" w:hAnsi="Calibri" w:cs="Times New Roman"/>
          <w:sz w:val="24"/>
          <w:szCs w:val="24"/>
        </w:rPr>
        <w:lastRenderedPageBreak/>
        <w:t>su relación que consideren más adecuad</w:t>
      </w:r>
      <w:r w:rsidR="0087444B" w:rsidRPr="006730E3">
        <w:rPr>
          <w:rFonts w:ascii="Calibri" w:hAnsi="Calibri" w:cs="Times New Roman"/>
          <w:sz w:val="24"/>
          <w:szCs w:val="24"/>
        </w:rPr>
        <w:t xml:space="preserve">os; es decir, determinar si la aplicación de un régimen económico a la pareja de hecho </w:t>
      </w:r>
      <w:r w:rsidR="00CC5D96" w:rsidRPr="006730E3">
        <w:rPr>
          <w:rFonts w:ascii="Calibri" w:hAnsi="Calibri" w:cs="Times New Roman"/>
          <w:sz w:val="24"/>
          <w:szCs w:val="24"/>
        </w:rPr>
        <w:t>debería requerir</w:t>
      </w:r>
      <w:r w:rsidR="0087444B" w:rsidRPr="006730E3">
        <w:rPr>
          <w:rFonts w:ascii="Calibri" w:hAnsi="Calibri" w:cs="Times New Roman"/>
          <w:sz w:val="24"/>
          <w:szCs w:val="24"/>
        </w:rPr>
        <w:t xml:space="preserve"> necesariamente la manifestación</w:t>
      </w:r>
      <w:r w:rsidR="00166C57" w:rsidRPr="006730E3">
        <w:rPr>
          <w:rFonts w:ascii="Calibri" w:hAnsi="Calibri" w:cs="Times New Roman"/>
          <w:sz w:val="24"/>
          <w:szCs w:val="24"/>
        </w:rPr>
        <w:t xml:space="preserve"> de su voluntad en este sentido</w:t>
      </w:r>
      <w:r w:rsidR="0087444B" w:rsidRPr="006730E3">
        <w:rPr>
          <w:rFonts w:ascii="Calibri" w:hAnsi="Calibri" w:cs="Times New Roman"/>
          <w:sz w:val="24"/>
          <w:szCs w:val="24"/>
        </w:rPr>
        <w:t>.</w:t>
      </w:r>
      <w:r w:rsidR="00DA6EDF" w:rsidRPr="006730E3">
        <w:rPr>
          <w:rFonts w:ascii="Calibri" w:hAnsi="Calibri" w:cs="Times New Roman"/>
          <w:sz w:val="24"/>
          <w:szCs w:val="24"/>
        </w:rPr>
        <w:t xml:space="preserve"> En segundo lugar, valorar si </w:t>
      </w:r>
      <w:r w:rsidR="002336D2" w:rsidRPr="006730E3">
        <w:rPr>
          <w:rFonts w:ascii="Calibri" w:hAnsi="Calibri" w:cs="Times New Roman"/>
          <w:sz w:val="24"/>
          <w:szCs w:val="24"/>
        </w:rPr>
        <w:t>el legislador gallego</w:t>
      </w:r>
      <w:r w:rsidR="00DA6EDF" w:rsidRPr="006730E3">
        <w:rPr>
          <w:rFonts w:ascii="Calibri" w:hAnsi="Calibri" w:cs="Times New Roman"/>
          <w:sz w:val="24"/>
          <w:szCs w:val="24"/>
        </w:rPr>
        <w:t xml:space="preserve"> puede articular, y articula en efecto, medios para que en la práctica dicha libertad de pacto </w:t>
      </w:r>
      <w:r w:rsidR="0080556C" w:rsidRPr="006730E3">
        <w:rPr>
          <w:rFonts w:ascii="Calibri" w:hAnsi="Calibri" w:cs="Times New Roman"/>
          <w:sz w:val="24"/>
          <w:szCs w:val="24"/>
        </w:rPr>
        <w:t>se</w:t>
      </w:r>
      <w:r w:rsidR="00DA6EDF" w:rsidRPr="006730E3">
        <w:rPr>
          <w:rFonts w:ascii="Calibri" w:hAnsi="Calibri" w:cs="Times New Roman"/>
          <w:sz w:val="24"/>
          <w:szCs w:val="24"/>
        </w:rPr>
        <w:t xml:space="preserve"> respete de forma eficaz.</w:t>
      </w:r>
    </w:p>
    <w:p w:rsidR="00D67D92" w:rsidRPr="006730E3" w:rsidRDefault="00D67D92" w:rsidP="00416B3A">
      <w:pPr>
        <w:spacing w:line="312" w:lineRule="auto"/>
        <w:jc w:val="both"/>
        <w:rPr>
          <w:rFonts w:ascii="Calibri" w:hAnsi="Calibri" w:cs="Times New Roman"/>
          <w:sz w:val="24"/>
          <w:szCs w:val="24"/>
        </w:rPr>
      </w:pPr>
    </w:p>
    <w:p w:rsidR="00580CC4" w:rsidRPr="00A81597" w:rsidRDefault="00C21CFB" w:rsidP="00416B3A">
      <w:pPr>
        <w:spacing w:line="312" w:lineRule="auto"/>
        <w:jc w:val="both"/>
        <w:rPr>
          <w:rFonts w:ascii="Calibri" w:hAnsi="Calibri" w:cs="Times New Roman"/>
          <w:sz w:val="24"/>
          <w:szCs w:val="24"/>
        </w:rPr>
      </w:pPr>
      <w:r w:rsidRPr="00A81597">
        <w:rPr>
          <w:rFonts w:ascii="Calibri" w:hAnsi="Calibri" w:cs="Times New Roman"/>
          <w:sz w:val="24"/>
          <w:szCs w:val="24"/>
        </w:rPr>
        <w:t xml:space="preserve">2. </w:t>
      </w:r>
      <w:r w:rsidR="00A81597" w:rsidRPr="00A81597">
        <w:rPr>
          <w:rFonts w:ascii="Calibri" w:hAnsi="Calibri" w:cs="Times New Roman"/>
          <w:smallCaps/>
          <w:sz w:val="24"/>
          <w:szCs w:val="24"/>
        </w:rPr>
        <w:t>La autonomía de la voluntad de la pareja</w:t>
      </w:r>
    </w:p>
    <w:p w:rsidR="006C1A20" w:rsidRPr="00A81597" w:rsidRDefault="00C21CFB" w:rsidP="00416B3A">
      <w:pPr>
        <w:spacing w:line="312" w:lineRule="auto"/>
        <w:jc w:val="both"/>
        <w:rPr>
          <w:rFonts w:ascii="Calibri" w:hAnsi="Calibri" w:cs="Times New Roman"/>
          <w:sz w:val="24"/>
          <w:szCs w:val="24"/>
        </w:rPr>
      </w:pPr>
      <w:r w:rsidRPr="00A81597">
        <w:rPr>
          <w:rFonts w:ascii="Calibri" w:hAnsi="Calibri" w:cs="Times New Roman"/>
          <w:sz w:val="24"/>
          <w:szCs w:val="24"/>
        </w:rPr>
        <w:t>2.1. Respeto de la autonomía privada: reflexiones a la luz de la STC 93/2013, de 23 de abril</w:t>
      </w:r>
    </w:p>
    <w:p w:rsidR="00A9188C" w:rsidRPr="006730E3" w:rsidRDefault="0077728A"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La cuestión de la libertad de pacto es </w:t>
      </w:r>
      <w:r w:rsidR="001B60F7" w:rsidRPr="006730E3">
        <w:rPr>
          <w:rFonts w:ascii="Calibri" w:hAnsi="Calibri" w:cs="Times New Roman"/>
          <w:sz w:val="24"/>
          <w:szCs w:val="24"/>
        </w:rPr>
        <w:t>uno de</w:t>
      </w:r>
      <w:r w:rsidRPr="006730E3">
        <w:rPr>
          <w:rFonts w:ascii="Calibri" w:hAnsi="Calibri" w:cs="Times New Roman"/>
          <w:sz w:val="24"/>
          <w:szCs w:val="24"/>
        </w:rPr>
        <w:t xml:space="preserve"> </w:t>
      </w:r>
      <w:r w:rsidR="001B60F7" w:rsidRPr="006730E3">
        <w:rPr>
          <w:rFonts w:ascii="Calibri" w:hAnsi="Calibri" w:cs="Times New Roman"/>
          <w:sz w:val="24"/>
          <w:szCs w:val="24"/>
        </w:rPr>
        <w:t xml:space="preserve">los </w:t>
      </w:r>
      <w:r w:rsidRPr="006730E3">
        <w:rPr>
          <w:rFonts w:ascii="Calibri" w:hAnsi="Calibri" w:cs="Times New Roman"/>
          <w:sz w:val="24"/>
          <w:szCs w:val="24"/>
        </w:rPr>
        <w:t>aspecto</w:t>
      </w:r>
      <w:r w:rsidR="00470735" w:rsidRPr="006730E3">
        <w:rPr>
          <w:rFonts w:ascii="Calibri" w:hAnsi="Calibri" w:cs="Times New Roman"/>
          <w:sz w:val="24"/>
          <w:szCs w:val="24"/>
        </w:rPr>
        <w:t>s</w:t>
      </w:r>
      <w:r w:rsidRPr="006730E3">
        <w:rPr>
          <w:rFonts w:ascii="Calibri" w:hAnsi="Calibri" w:cs="Times New Roman"/>
          <w:sz w:val="24"/>
          <w:szCs w:val="24"/>
        </w:rPr>
        <w:t xml:space="preserve"> al que más firmemente se agarran</w:t>
      </w:r>
      <w:r w:rsidR="001B60F7" w:rsidRPr="006730E3">
        <w:rPr>
          <w:rFonts w:ascii="Calibri" w:hAnsi="Calibri" w:cs="Times New Roman"/>
          <w:sz w:val="24"/>
          <w:szCs w:val="24"/>
        </w:rPr>
        <w:t xml:space="preserve"> </w:t>
      </w:r>
      <w:r w:rsidR="004A741E" w:rsidRPr="006730E3">
        <w:rPr>
          <w:rFonts w:ascii="Calibri" w:hAnsi="Calibri" w:cs="Times New Roman"/>
          <w:sz w:val="24"/>
          <w:szCs w:val="24"/>
        </w:rPr>
        <w:t>quienes niegan</w:t>
      </w:r>
      <w:r w:rsidRPr="006730E3">
        <w:rPr>
          <w:rFonts w:ascii="Calibri" w:hAnsi="Calibri" w:cs="Times New Roman"/>
          <w:sz w:val="24"/>
          <w:szCs w:val="24"/>
        </w:rPr>
        <w:t xml:space="preserve"> la aplicación </w:t>
      </w:r>
      <w:r w:rsidRPr="006730E3">
        <w:rPr>
          <w:rFonts w:ascii="Calibri" w:hAnsi="Calibri" w:cs="Times New Roman"/>
          <w:i/>
          <w:sz w:val="24"/>
          <w:szCs w:val="24"/>
        </w:rPr>
        <w:t xml:space="preserve">ex </w:t>
      </w:r>
      <w:proofErr w:type="spellStart"/>
      <w:r w:rsidRPr="006730E3">
        <w:rPr>
          <w:rFonts w:ascii="Calibri" w:hAnsi="Calibri" w:cs="Times New Roman"/>
          <w:i/>
          <w:sz w:val="24"/>
          <w:szCs w:val="24"/>
        </w:rPr>
        <w:t>lege</w:t>
      </w:r>
      <w:proofErr w:type="spellEnd"/>
      <w:r w:rsidRPr="006730E3">
        <w:rPr>
          <w:rFonts w:ascii="Calibri" w:hAnsi="Calibri" w:cs="Times New Roman"/>
          <w:sz w:val="24"/>
          <w:szCs w:val="24"/>
        </w:rPr>
        <w:t xml:space="preserve"> de la sociedad de gananciales </w:t>
      </w:r>
      <w:r w:rsidR="00C8717B" w:rsidRPr="006730E3">
        <w:rPr>
          <w:rFonts w:ascii="Calibri" w:hAnsi="Calibri" w:cs="Times New Roman"/>
          <w:sz w:val="24"/>
          <w:szCs w:val="24"/>
        </w:rPr>
        <w:t>a la pareja de hecho</w:t>
      </w:r>
      <w:r w:rsidR="00034E0D" w:rsidRPr="006730E3">
        <w:rPr>
          <w:rStyle w:val="Refdenotaalpie"/>
          <w:rFonts w:ascii="Calibri" w:hAnsi="Calibri" w:cs="Times New Roman"/>
          <w:sz w:val="24"/>
          <w:szCs w:val="24"/>
        </w:rPr>
        <w:footnoteReference w:id="41"/>
      </w:r>
      <w:r w:rsidR="00C8717B" w:rsidRPr="006730E3">
        <w:rPr>
          <w:rFonts w:ascii="Calibri" w:hAnsi="Calibri" w:cs="Times New Roman"/>
          <w:sz w:val="24"/>
          <w:szCs w:val="24"/>
        </w:rPr>
        <w:t xml:space="preserve">. </w:t>
      </w:r>
      <w:r w:rsidR="001B60F7" w:rsidRPr="006730E3">
        <w:rPr>
          <w:rFonts w:ascii="Calibri" w:hAnsi="Calibri" w:cs="Times New Roman"/>
          <w:sz w:val="24"/>
          <w:szCs w:val="24"/>
        </w:rPr>
        <w:t xml:space="preserve">En efecto, dado que la nueva </w:t>
      </w:r>
      <w:r w:rsidR="005A3773" w:rsidRPr="006730E3">
        <w:rPr>
          <w:rFonts w:ascii="Calibri" w:hAnsi="Calibri" w:cs="Times New Roman"/>
          <w:sz w:val="24"/>
          <w:szCs w:val="24"/>
        </w:rPr>
        <w:t xml:space="preserve">letra de la </w:t>
      </w:r>
      <w:r w:rsidR="001B60F7" w:rsidRPr="006730E3">
        <w:rPr>
          <w:rFonts w:ascii="Calibri" w:hAnsi="Calibri" w:cs="Times New Roman"/>
          <w:sz w:val="24"/>
          <w:szCs w:val="24"/>
        </w:rPr>
        <w:t>DAT</w:t>
      </w:r>
      <w:r w:rsidR="005A3773" w:rsidRPr="006730E3">
        <w:rPr>
          <w:rFonts w:ascii="Calibri" w:hAnsi="Calibri" w:cs="Times New Roman"/>
          <w:sz w:val="24"/>
          <w:szCs w:val="24"/>
        </w:rPr>
        <w:t>, a diferencia de la original</w:t>
      </w:r>
      <w:r w:rsidR="005A3773" w:rsidRPr="006730E3">
        <w:rPr>
          <w:rStyle w:val="Refdenotaalpie"/>
          <w:rFonts w:ascii="Calibri" w:hAnsi="Calibri" w:cs="Times New Roman"/>
          <w:sz w:val="24"/>
          <w:szCs w:val="24"/>
        </w:rPr>
        <w:footnoteReference w:id="42"/>
      </w:r>
      <w:r w:rsidR="005A3773" w:rsidRPr="006730E3">
        <w:rPr>
          <w:rFonts w:ascii="Calibri" w:hAnsi="Calibri" w:cs="Times New Roman"/>
          <w:sz w:val="24"/>
          <w:szCs w:val="24"/>
        </w:rPr>
        <w:t>,</w:t>
      </w:r>
      <w:r w:rsidR="001B60F7" w:rsidRPr="006730E3">
        <w:rPr>
          <w:rFonts w:ascii="Calibri" w:hAnsi="Calibri" w:cs="Times New Roman"/>
          <w:sz w:val="24"/>
          <w:szCs w:val="24"/>
        </w:rPr>
        <w:t xml:space="preserve"> contiene un nuevo apartado</w:t>
      </w:r>
      <w:r w:rsidR="005A3773" w:rsidRPr="006730E3">
        <w:rPr>
          <w:rFonts w:ascii="Calibri" w:hAnsi="Calibri" w:cs="Times New Roman"/>
          <w:sz w:val="24"/>
          <w:szCs w:val="24"/>
        </w:rPr>
        <w:t xml:space="preserve"> final que alude expresamente a la posibilidad de que la pareja establezca en escritura pública los pactos que estimen convenientes para </w:t>
      </w:r>
      <w:r w:rsidR="008D7BC5" w:rsidRPr="006730E3">
        <w:rPr>
          <w:rFonts w:ascii="Calibri" w:hAnsi="Calibri" w:cs="Times New Roman"/>
          <w:sz w:val="24"/>
          <w:szCs w:val="24"/>
        </w:rPr>
        <w:t>regir sus relaciones económicas, cierto</w:t>
      </w:r>
      <w:r w:rsidR="006C1A20" w:rsidRPr="006730E3">
        <w:rPr>
          <w:rFonts w:ascii="Calibri" w:hAnsi="Calibri" w:cs="Times New Roman"/>
          <w:sz w:val="24"/>
          <w:szCs w:val="24"/>
        </w:rPr>
        <w:t>s comentador</w:t>
      </w:r>
      <w:r w:rsidR="00787F9B" w:rsidRPr="006730E3">
        <w:rPr>
          <w:rFonts w:ascii="Calibri" w:hAnsi="Calibri" w:cs="Times New Roman"/>
          <w:sz w:val="24"/>
          <w:szCs w:val="24"/>
        </w:rPr>
        <w:t xml:space="preserve">es apuntan que dicha previsión </w:t>
      </w:r>
      <w:r w:rsidR="006C1A20" w:rsidRPr="006730E3">
        <w:rPr>
          <w:rFonts w:ascii="Calibri" w:hAnsi="Calibri" w:cs="Times New Roman"/>
          <w:sz w:val="24"/>
          <w:szCs w:val="24"/>
        </w:rPr>
        <w:t xml:space="preserve">supone la sanción o </w:t>
      </w:r>
      <w:r w:rsidR="00D2241C" w:rsidRPr="006730E3">
        <w:rPr>
          <w:rFonts w:ascii="Calibri" w:hAnsi="Calibri" w:cs="Times New Roman"/>
          <w:sz w:val="24"/>
          <w:szCs w:val="24"/>
        </w:rPr>
        <w:t>el reforzamiento</w:t>
      </w:r>
      <w:r w:rsidR="006C1A20" w:rsidRPr="006730E3">
        <w:rPr>
          <w:rFonts w:ascii="Calibri" w:hAnsi="Calibri" w:cs="Times New Roman"/>
          <w:sz w:val="24"/>
          <w:szCs w:val="24"/>
        </w:rPr>
        <w:t xml:space="preserve"> legal de la autonomía de la voluntad de las partes</w:t>
      </w:r>
      <w:r w:rsidR="00787F9B" w:rsidRPr="006730E3">
        <w:rPr>
          <w:rFonts w:ascii="Calibri" w:hAnsi="Calibri" w:cs="Times New Roman"/>
          <w:sz w:val="24"/>
          <w:szCs w:val="24"/>
        </w:rPr>
        <w:t xml:space="preserve"> como único cauce</w:t>
      </w:r>
      <w:r w:rsidR="006C1A20" w:rsidRPr="006730E3">
        <w:rPr>
          <w:rFonts w:ascii="Calibri" w:hAnsi="Calibri" w:cs="Times New Roman"/>
          <w:sz w:val="24"/>
          <w:szCs w:val="24"/>
        </w:rPr>
        <w:t xml:space="preserve"> para</w:t>
      </w:r>
      <w:r w:rsidR="004A741E" w:rsidRPr="006730E3">
        <w:rPr>
          <w:rFonts w:ascii="Calibri" w:hAnsi="Calibri" w:cs="Times New Roman"/>
          <w:sz w:val="24"/>
          <w:szCs w:val="24"/>
        </w:rPr>
        <w:t xml:space="preserve"> que </w:t>
      </w:r>
      <w:r w:rsidR="00260C72" w:rsidRPr="006730E3">
        <w:rPr>
          <w:rFonts w:ascii="Calibri" w:hAnsi="Calibri" w:cs="Times New Roman"/>
          <w:sz w:val="24"/>
          <w:szCs w:val="24"/>
        </w:rPr>
        <w:t>efectivamente exista una regulación de</w:t>
      </w:r>
      <w:r w:rsidR="004A741E" w:rsidRPr="006730E3">
        <w:rPr>
          <w:rFonts w:ascii="Calibri" w:hAnsi="Calibri" w:cs="Times New Roman"/>
          <w:sz w:val="24"/>
          <w:szCs w:val="24"/>
        </w:rPr>
        <w:t xml:space="preserve"> sus relaciones econ</w:t>
      </w:r>
      <w:r w:rsidR="00BF7FCB" w:rsidRPr="006730E3">
        <w:rPr>
          <w:rFonts w:ascii="Calibri" w:hAnsi="Calibri" w:cs="Times New Roman"/>
          <w:sz w:val="24"/>
          <w:szCs w:val="24"/>
        </w:rPr>
        <w:t>ómicas</w:t>
      </w:r>
      <w:r w:rsidR="006C1A20" w:rsidRPr="006730E3">
        <w:rPr>
          <w:rStyle w:val="Refdenotaalpie"/>
          <w:rFonts w:ascii="Calibri" w:hAnsi="Calibri" w:cs="Times New Roman"/>
          <w:sz w:val="24"/>
          <w:szCs w:val="24"/>
        </w:rPr>
        <w:footnoteReference w:id="43"/>
      </w:r>
      <w:r w:rsidR="006C1A20" w:rsidRPr="006730E3">
        <w:rPr>
          <w:rFonts w:ascii="Calibri" w:hAnsi="Calibri" w:cs="Times New Roman"/>
          <w:sz w:val="24"/>
          <w:szCs w:val="24"/>
        </w:rPr>
        <w:t>. Es más, tales reflexiones han conducido a quienes afirmaban que la DAT de 2006 sí suponía el sometimiento de la pareja de hecho al régimen de gananciales a sostener que, en virtud de la DAT de 2007, el art. 171 LDCG deja de ser aplicable</w:t>
      </w:r>
      <w:r w:rsidR="006C1A20" w:rsidRPr="006730E3">
        <w:rPr>
          <w:rStyle w:val="Refdenotaalpie"/>
          <w:rFonts w:ascii="Calibri" w:hAnsi="Calibri" w:cs="Times New Roman"/>
          <w:sz w:val="24"/>
          <w:szCs w:val="24"/>
        </w:rPr>
        <w:footnoteReference w:id="44"/>
      </w:r>
      <w:r w:rsidR="006C1A20" w:rsidRPr="006730E3">
        <w:rPr>
          <w:rFonts w:ascii="Calibri" w:hAnsi="Calibri" w:cs="Times New Roman"/>
          <w:sz w:val="24"/>
          <w:szCs w:val="24"/>
        </w:rPr>
        <w:t>.</w:t>
      </w:r>
      <w:r w:rsidR="00A9188C" w:rsidRPr="006730E3">
        <w:rPr>
          <w:rFonts w:ascii="Calibri" w:hAnsi="Calibri" w:cs="Times New Roman"/>
          <w:sz w:val="24"/>
          <w:szCs w:val="24"/>
        </w:rPr>
        <w:t xml:space="preserve"> </w:t>
      </w:r>
      <w:r w:rsidR="004A5EEC" w:rsidRPr="006730E3">
        <w:rPr>
          <w:rFonts w:ascii="Calibri" w:hAnsi="Calibri" w:cs="Times New Roman"/>
          <w:sz w:val="24"/>
          <w:szCs w:val="24"/>
        </w:rPr>
        <w:t xml:space="preserve">Sin embargo, debemos reiterar que la </w:t>
      </w:r>
      <w:r w:rsidR="00A9188C" w:rsidRPr="006730E3">
        <w:rPr>
          <w:rFonts w:ascii="Calibri" w:hAnsi="Calibri" w:cs="Times New Roman"/>
          <w:sz w:val="24"/>
          <w:szCs w:val="24"/>
        </w:rPr>
        <w:t xml:space="preserve">equiparación entre el matrimonio y la pareja que realiza la </w:t>
      </w:r>
      <w:r w:rsidR="004A5EEC" w:rsidRPr="006730E3">
        <w:rPr>
          <w:rFonts w:ascii="Calibri" w:hAnsi="Calibri" w:cs="Times New Roman"/>
          <w:sz w:val="24"/>
          <w:szCs w:val="24"/>
        </w:rPr>
        <w:t xml:space="preserve">DAT no excluye en ningún momento </w:t>
      </w:r>
      <w:r w:rsidR="00A9188C" w:rsidRPr="006730E3">
        <w:rPr>
          <w:rFonts w:ascii="Calibri" w:hAnsi="Calibri" w:cs="Times New Roman"/>
          <w:sz w:val="24"/>
          <w:szCs w:val="24"/>
        </w:rPr>
        <w:t>el régimen económico familiar</w:t>
      </w:r>
      <w:r w:rsidR="004A5EEC" w:rsidRPr="006730E3">
        <w:rPr>
          <w:rStyle w:val="Refdenotaalpie"/>
          <w:rFonts w:ascii="Calibri" w:hAnsi="Calibri" w:cs="Times New Roman"/>
          <w:sz w:val="24"/>
          <w:szCs w:val="24"/>
        </w:rPr>
        <w:footnoteReference w:id="45"/>
      </w:r>
      <w:r w:rsidR="00A9188C" w:rsidRPr="006730E3">
        <w:rPr>
          <w:rFonts w:ascii="Calibri" w:hAnsi="Calibri" w:cs="Times New Roman"/>
          <w:sz w:val="24"/>
          <w:szCs w:val="24"/>
        </w:rPr>
        <w:t xml:space="preserve">. </w:t>
      </w:r>
    </w:p>
    <w:p w:rsidR="00183F44" w:rsidRPr="006730E3" w:rsidRDefault="00EE7FCB"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Sin perjuicio de que </w:t>
      </w:r>
      <w:r w:rsidR="003226AF" w:rsidRPr="006730E3">
        <w:rPr>
          <w:rFonts w:ascii="Calibri" w:hAnsi="Calibri" w:cs="Times New Roman"/>
          <w:sz w:val="24"/>
          <w:szCs w:val="24"/>
        </w:rPr>
        <w:t xml:space="preserve">más adelante nos refiramos con mayor detenimiento </w:t>
      </w:r>
      <w:r w:rsidR="00B8323B" w:rsidRPr="006730E3">
        <w:rPr>
          <w:rFonts w:ascii="Calibri" w:hAnsi="Calibri" w:cs="Times New Roman"/>
          <w:sz w:val="24"/>
          <w:szCs w:val="24"/>
        </w:rPr>
        <w:t>al apartado tercero de la DAT</w:t>
      </w:r>
      <w:r w:rsidRPr="006730E3">
        <w:rPr>
          <w:rFonts w:ascii="Calibri" w:hAnsi="Calibri" w:cs="Times New Roman"/>
          <w:sz w:val="24"/>
          <w:szCs w:val="24"/>
        </w:rPr>
        <w:t xml:space="preserve">, y </w:t>
      </w:r>
      <w:r w:rsidR="00B8323B" w:rsidRPr="006730E3">
        <w:rPr>
          <w:rFonts w:ascii="Calibri" w:hAnsi="Calibri" w:cs="Times New Roman"/>
          <w:sz w:val="24"/>
          <w:szCs w:val="24"/>
        </w:rPr>
        <w:t>continuando ahora</w:t>
      </w:r>
      <w:r w:rsidR="00D2241C" w:rsidRPr="006730E3">
        <w:rPr>
          <w:rFonts w:ascii="Calibri" w:hAnsi="Calibri" w:cs="Times New Roman"/>
          <w:sz w:val="24"/>
          <w:szCs w:val="24"/>
        </w:rPr>
        <w:t xml:space="preserve"> </w:t>
      </w:r>
      <w:r w:rsidR="003C758C" w:rsidRPr="006730E3">
        <w:rPr>
          <w:rFonts w:ascii="Calibri" w:hAnsi="Calibri" w:cs="Times New Roman"/>
          <w:sz w:val="24"/>
          <w:szCs w:val="24"/>
        </w:rPr>
        <w:t>con</w:t>
      </w:r>
      <w:r w:rsidR="00D2241C" w:rsidRPr="006730E3">
        <w:rPr>
          <w:rFonts w:ascii="Calibri" w:hAnsi="Calibri" w:cs="Times New Roman"/>
          <w:sz w:val="24"/>
          <w:szCs w:val="24"/>
        </w:rPr>
        <w:t xml:space="preserve"> la cuestión </w:t>
      </w:r>
      <w:r w:rsidR="00C002D0" w:rsidRPr="006730E3">
        <w:rPr>
          <w:rFonts w:ascii="Calibri" w:hAnsi="Calibri" w:cs="Times New Roman"/>
          <w:sz w:val="24"/>
          <w:szCs w:val="24"/>
        </w:rPr>
        <w:t>que nos ocupa</w:t>
      </w:r>
      <w:r w:rsidRPr="006730E3">
        <w:rPr>
          <w:rFonts w:ascii="Calibri" w:hAnsi="Calibri" w:cs="Times New Roman"/>
          <w:sz w:val="24"/>
          <w:szCs w:val="24"/>
        </w:rPr>
        <w:t xml:space="preserve">, </w:t>
      </w:r>
      <w:r w:rsidR="005C6D1B" w:rsidRPr="006730E3">
        <w:rPr>
          <w:rFonts w:ascii="Calibri" w:hAnsi="Calibri" w:cs="Times New Roman"/>
          <w:sz w:val="24"/>
          <w:szCs w:val="24"/>
        </w:rPr>
        <w:t xml:space="preserve">estos autores pretenden extrapolar al Derecho gallego aquella doctrina según la cual el acuerdo de los convivientes es la única fuente para la existencia de un sistema de relaciones patrimoniales; </w:t>
      </w:r>
      <w:r w:rsidR="003C758C" w:rsidRPr="006730E3">
        <w:rPr>
          <w:rFonts w:ascii="Calibri" w:hAnsi="Calibri" w:cs="Times New Roman"/>
          <w:sz w:val="24"/>
          <w:szCs w:val="24"/>
        </w:rPr>
        <w:t>pacto</w:t>
      </w:r>
      <w:r w:rsidR="005C6D1B" w:rsidRPr="006730E3">
        <w:rPr>
          <w:rFonts w:ascii="Calibri" w:hAnsi="Calibri" w:cs="Times New Roman"/>
          <w:sz w:val="24"/>
          <w:szCs w:val="24"/>
        </w:rPr>
        <w:t xml:space="preserve"> que puede ser expreso o tácito, sin que </w:t>
      </w:r>
      <w:r w:rsidR="00536B4D" w:rsidRPr="006730E3">
        <w:rPr>
          <w:rFonts w:ascii="Calibri" w:hAnsi="Calibri" w:cs="Times New Roman"/>
          <w:sz w:val="24"/>
          <w:szCs w:val="24"/>
        </w:rPr>
        <w:t>quepa</w:t>
      </w:r>
      <w:r w:rsidR="005C6D1B" w:rsidRPr="006730E3">
        <w:rPr>
          <w:rFonts w:ascii="Calibri" w:hAnsi="Calibri" w:cs="Times New Roman"/>
          <w:sz w:val="24"/>
          <w:szCs w:val="24"/>
        </w:rPr>
        <w:t xml:space="preserve"> deducir</w:t>
      </w:r>
      <w:r w:rsidR="00536B4D" w:rsidRPr="006730E3">
        <w:rPr>
          <w:rFonts w:ascii="Calibri" w:hAnsi="Calibri" w:cs="Times New Roman"/>
          <w:sz w:val="24"/>
          <w:szCs w:val="24"/>
        </w:rPr>
        <w:t>lo</w:t>
      </w:r>
      <w:r w:rsidR="005C6D1B" w:rsidRPr="006730E3">
        <w:rPr>
          <w:rFonts w:ascii="Calibri" w:hAnsi="Calibri" w:cs="Times New Roman"/>
          <w:sz w:val="24"/>
          <w:szCs w:val="24"/>
        </w:rPr>
        <w:t xml:space="preserve"> de la mera existencia de la </w:t>
      </w:r>
      <w:r w:rsidR="005C6D1B" w:rsidRPr="006730E3">
        <w:rPr>
          <w:rFonts w:ascii="Calibri" w:hAnsi="Calibri" w:cs="Times New Roman"/>
          <w:sz w:val="24"/>
          <w:szCs w:val="24"/>
        </w:rPr>
        <w:lastRenderedPageBreak/>
        <w:t>relación personal, y que puede determinar la aplicación de las reglas de un régimen económico matrimonial</w:t>
      </w:r>
      <w:r w:rsidR="005C6D1B" w:rsidRPr="006730E3">
        <w:rPr>
          <w:rStyle w:val="Refdenotaalpie"/>
          <w:rFonts w:ascii="Calibri" w:hAnsi="Calibri" w:cs="Times New Roman"/>
          <w:sz w:val="24"/>
          <w:szCs w:val="24"/>
        </w:rPr>
        <w:footnoteReference w:id="46"/>
      </w:r>
      <w:r w:rsidR="005C6D1B" w:rsidRPr="006730E3">
        <w:rPr>
          <w:rFonts w:ascii="Calibri" w:hAnsi="Calibri" w:cs="Times New Roman"/>
          <w:sz w:val="24"/>
          <w:szCs w:val="24"/>
        </w:rPr>
        <w:t>.</w:t>
      </w:r>
    </w:p>
    <w:p w:rsidR="00AF6D73" w:rsidRPr="006730E3" w:rsidRDefault="00AF6D73" w:rsidP="00416B3A">
      <w:pPr>
        <w:spacing w:line="312" w:lineRule="auto"/>
        <w:jc w:val="both"/>
        <w:rPr>
          <w:rFonts w:ascii="Calibri" w:hAnsi="Calibri" w:cs="Times New Roman"/>
          <w:sz w:val="24"/>
          <w:szCs w:val="24"/>
        </w:rPr>
      </w:pPr>
      <w:r w:rsidRPr="006730E3">
        <w:rPr>
          <w:rFonts w:ascii="Calibri" w:hAnsi="Calibri" w:cs="Times New Roman"/>
          <w:sz w:val="24"/>
          <w:szCs w:val="24"/>
        </w:rPr>
        <w:t>Si bien</w:t>
      </w:r>
      <w:r w:rsidR="005C199A" w:rsidRPr="006730E3">
        <w:rPr>
          <w:rFonts w:ascii="Calibri" w:hAnsi="Calibri" w:cs="Times New Roman"/>
          <w:sz w:val="24"/>
          <w:szCs w:val="24"/>
        </w:rPr>
        <w:t xml:space="preserve"> esta última doctrina, sentada </w:t>
      </w:r>
      <w:r w:rsidR="00CC5D96" w:rsidRPr="006730E3">
        <w:rPr>
          <w:rFonts w:ascii="Calibri" w:hAnsi="Calibri" w:cs="Times New Roman"/>
          <w:sz w:val="24"/>
          <w:szCs w:val="24"/>
        </w:rPr>
        <w:t>para</w:t>
      </w:r>
      <w:r w:rsidR="005C199A" w:rsidRPr="006730E3">
        <w:rPr>
          <w:rFonts w:ascii="Calibri" w:hAnsi="Calibri" w:cs="Times New Roman"/>
          <w:sz w:val="24"/>
          <w:szCs w:val="24"/>
        </w:rPr>
        <w:t xml:space="preserve"> un sistema legal</w:t>
      </w:r>
      <w:r w:rsidR="00CC5D96" w:rsidRPr="006730E3">
        <w:rPr>
          <w:rFonts w:ascii="Calibri" w:hAnsi="Calibri" w:cs="Times New Roman"/>
          <w:sz w:val="24"/>
          <w:szCs w:val="24"/>
        </w:rPr>
        <w:t xml:space="preserve"> co</w:t>
      </w:r>
      <w:r w:rsidR="003E60CF" w:rsidRPr="006730E3">
        <w:rPr>
          <w:rFonts w:ascii="Calibri" w:hAnsi="Calibri" w:cs="Times New Roman"/>
          <w:sz w:val="24"/>
          <w:szCs w:val="24"/>
        </w:rPr>
        <w:t>mo el estatal</w:t>
      </w:r>
      <w:r w:rsidR="005C199A" w:rsidRPr="006730E3">
        <w:rPr>
          <w:rFonts w:ascii="Calibri" w:hAnsi="Calibri" w:cs="Times New Roman"/>
          <w:sz w:val="24"/>
          <w:szCs w:val="24"/>
        </w:rPr>
        <w:t xml:space="preserve"> que no regula las relaciones económicas de los convivientes, no puede ser sin más aplicada a la regulación gallega en cuanto la misma, a diferencia del </w:t>
      </w:r>
      <w:r w:rsidR="001E01C9" w:rsidRPr="006730E3">
        <w:rPr>
          <w:rFonts w:ascii="Calibri" w:hAnsi="Calibri" w:cs="Times New Roman"/>
          <w:sz w:val="24"/>
          <w:szCs w:val="24"/>
        </w:rPr>
        <w:t>CC</w:t>
      </w:r>
      <w:r w:rsidR="005C199A" w:rsidRPr="006730E3">
        <w:rPr>
          <w:rFonts w:ascii="Calibri" w:hAnsi="Calibri" w:cs="Times New Roman"/>
          <w:sz w:val="24"/>
          <w:szCs w:val="24"/>
        </w:rPr>
        <w:t xml:space="preserve">, sí determina claramente la aplicación de la sociedad de gananciales a la pareja, las reflexiones </w:t>
      </w:r>
      <w:r w:rsidR="00CC5D96" w:rsidRPr="006730E3">
        <w:rPr>
          <w:rFonts w:ascii="Calibri" w:hAnsi="Calibri" w:cs="Times New Roman"/>
          <w:sz w:val="24"/>
          <w:szCs w:val="24"/>
        </w:rPr>
        <w:t>sobre las que se sustenta</w:t>
      </w:r>
      <w:r w:rsidR="005C199A" w:rsidRPr="006730E3">
        <w:rPr>
          <w:rFonts w:ascii="Calibri" w:hAnsi="Calibri" w:cs="Times New Roman"/>
          <w:sz w:val="24"/>
          <w:szCs w:val="24"/>
        </w:rPr>
        <w:t xml:space="preserve"> </w:t>
      </w:r>
      <w:r w:rsidRPr="006730E3">
        <w:rPr>
          <w:rFonts w:ascii="Calibri" w:hAnsi="Calibri" w:cs="Times New Roman"/>
          <w:sz w:val="24"/>
          <w:szCs w:val="24"/>
        </w:rPr>
        <w:t xml:space="preserve">conducen a que nos planteemos si la </w:t>
      </w:r>
      <w:r w:rsidR="005C199A" w:rsidRPr="006730E3">
        <w:rPr>
          <w:rFonts w:ascii="Calibri" w:hAnsi="Calibri" w:cs="Times New Roman"/>
          <w:sz w:val="24"/>
          <w:szCs w:val="24"/>
        </w:rPr>
        <w:t>DAT es respetuosa con la autonomía de la voluntad de los miembros de la pareja.</w:t>
      </w:r>
      <w:r w:rsidR="00D440F0" w:rsidRPr="006730E3">
        <w:rPr>
          <w:rFonts w:ascii="Calibri" w:hAnsi="Calibri" w:cs="Times New Roman"/>
          <w:sz w:val="24"/>
          <w:szCs w:val="24"/>
        </w:rPr>
        <w:t xml:space="preserve"> La cuestión se presenta particularmente controvertida a la luz de la S</w:t>
      </w:r>
      <w:r w:rsidR="00BF3D8C" w:rsidRPr="006730E3">
        <w:rPr>
          <w:rFonts w:ascii="Calibri" w:hAnsi="Calibri" w:cs="Times New Roman"/>
          <w:sz w:val="24"/>
          <w:szCs w:val="24"/>
        </w:rPr>
        <w:t>entencia del Tribunal Constitucional (en adelante, TC)</w:t>
      </w:r>
      <w:r w:rsidR="00D440F0" w:rsidRPr="006730E3">
        <w:rPr>
          <w:rFonts w:ascii="Calibri" w:hAnsi="Calibri" w:cs="Times New Roman"/>
          <w:sz w:val="24"/>
          <w:szCs w:val="24"/>
        </w:rPr>
        <w:t xml:space="preserve"> </w:t>
      </w:r>
      <w:r w:rsidR="00A81597">
        <w:rPr>
          <w:rFonts w:ascii="Calibri" w:hAnsi="Calibri" w:cs="Times New Roman"/>
          <w:sz w:val="24"/>
          <w:szCs w:val="24"/>
        </w:rPr>
        <w:t xml:space="preserve">(Pleno) </w:t>
      </w:r>
      <w:r w:rsidR="00D440F0" w:rsidRPr="006730E3">
        <w:rPr>
          <w:rFonts w:ascii="Calibri" w:hAnsi="Calibri" w:cs="Times New Roman"/>
          <w:sz w:val="24"/>
          <w:szCs w:val="24"/>
        </w:rPr>
        <w:t>93/2013, de 23 de abril</w:t>
      </w:r>
      <w:r w:rsidR="00324A5E" w:rsidRPr="006730E3">
        <w:rPr>
          <w:rStyle w:val="Refdenotaalpie"/>
          <w:rFonts w:ascii="Calibri" w:hAnsi="Calibri" w:cs="Times New Roman"/>
          <w:sz w:val="24"/>
          <w:szCs w:val="24"/>
        </w:rPr>
        <w:footnoteReference w:id="47"/>
      </w:r>
      <w:r w:rsidR="00D440F0" w:rsidRPr="006730E3">
        <w:rPr>
          <w:rFonts w:ascii="Calibri" w:hAnsi="Calibri" w:cs="Times New Roman"/>
          <w:sz w:val="24"/>
          <w:szCs w:val="24"/>
        </w:rPr>
        <w:t>, por la que se resolvió el recurso de inconstitucionalidad planteado contra la Ley Foral de Navarra 6/2000, de 3 de julio, para la igualdad jurídica de las parejas estables</w:t>
      </w:r>
      <w:r w:rsidR="00EC6C0E" w:rsidRPr="006730E3">
        <w:rPr>
          <w:rFonts w:ascii="Calibri" w:hAnsi="Calibri" w:cs="Times New Roman"/>
          <w:sz w:val="24"/>
          <w:szCs w:val="24"/>
        </w:rPr>
        <w:t xml:space="preserve"> </w:t>
      </w:r>
      <w:r w:rsidR="00CC7C04" w:rsidRPr="006730E3">
        <w:rPr>
          <w:rFonts w:ascii="Calibri" w:hAnsi="Calibri" w:cs="Times New Roman"/>
          <w:sz w:val="24"/>
          <w:szCs w:val="24"/>
        </w:rPr>
        <w:t>(en adelante LN)</w:t>
      </w:r>
      <w:r w:rsidR="00B62BFD" w:rsidRPr="006730E3">
        <w:rPr>
          <w:rFonts w:ascii="Calibri" w:hAnsi="Calibri" w:cs="Times New Roman"/>
          <w:sz w:val="24"/>
          <w:szCs w:val="24"/>
        </w:rPr>
        <w:t>.</w:t>
      </w:r>
    </w:p>
    <w:p w:rsidR="00BF7FCB" w:rsidRPr="006730E3" w:rsidRDefault="004A741E" w:rsidP="00416B3A">
      <w:pPr>
        <w:spacing w:line="312" w:lineRule="auto"/>
        <w:jc w:val="both"/>
        <w:rPr>
          <w:rFonts w:ascii="Calibri" w:hAnsi="Calibri" w:cs="Times New Roman"/>
          <w:sz w:val="24"/>
          <w:szCs w:val="24"/>
        </w:rPr>
      </w:pPr>
      <w:r w:rsidRPr="006730E3">
        <w:rPr>
          <w:rFonts w:ascii="Calibri" w:hAnsi="Calibri" w:cs="Times New Roman"/>
          <w:sz w:val="24"/>
          <w:szCs w:val="24"/>
        </w:rPr>
        <w:t>No pretendemos</w:t>
      </w:r>
      <w:r w:rsidR="002F07CE" w:rsidRPr="006730E3">
        <w:rPr>
          <w:rFonts w:ascii="Calibri" w:hAnsi="Calibri" w:cs="Times New Roman"/>
          <w:sz w:val="24"/>
          <w:szCs w:val="24"/>
        </w:rPr>
        <w:t xml:space="preserve"> realizar </w:t>
      </w:r>
      <w:r w:rsidR="00BF7FCB" w:rsidRPr="006730E3">
        <w:rPr>
          <w:rFonts w:ascii="Calibri" w:hAnsi="Calibri" w:cs="Times New Roman"/>
          <w:sz w:val="24"/>
          <w:szCs w:val="24"/>
        </w:rPr>
        <w:t xml:space="preserve">aquí </w:t>
      </w:r>
      <w:r w:rsidR="002F07CE" w:rsidRPr="006730E3">
        <w:rPr>
          <w:rFonts w:ascii="Calibri" w:hAnsi="Calibri" w:cs="Times New Roman"/>
          <w:sz w:val="24"/>
          <w:szCs w:val="24"/>
        </w:rPr>
        <w:t>un comentario de la citada sentencia, sin</w:t>
      </w:r>
      <w:r w:rsidR="00BF7FCB" w:rsidRPr="006730E3">
        <w:rPr>
          <w:rFonts w:ascii="Calibri" w:hAnsi="Calibri" w:cs="Times New Roman"/>
          <w:sz w:val="24"/>
          <w:szCs w:val="24"/>
        </w:rPr>
        <w:t>o manifestar que la regulación de la DAT no se ajusta a la doctrina que el TC sienta para el supuesto navarro y que sería declarada inconstitucional si el TC mantuviese la misma en el hipotético caso de que entrase a conocer de la constitucionalidad de la LDCG por alguno de los cauces previstos</w:t>
      </w:r>
      <w:r w:rsidR="00BF7FCB" w:rsidRPr="006730E3">
        <w:rPr>
          <w:rStyle w:val="Refdenotaalpie"/>
          <w:rFonts w:ascii="Calibri" w:hAnsi="Calibri" w:cs="Times New Roman"/>
          <w:sz w:val="24"/>
          <w:szCs w:val="24"/>
        </w:rPr>
        <w:footnoteReference w:id="48"/>
      </w:r>
      <w:r w:rsidR="00BF7FCB" w:rsidRPr="006730E3">
        <w:rPr>
          <w:rFonts w:ascii="Calibri" w:hAnsi="Calibri" w:cs="Times New Roman"/>
          <w:sz w:val="24"/>
          <w:szCs w:val="24"/>
        </w:rPr>
        <w:t xml:space="preserve">. </w:t>
      </w:r>
    </w:p>
    <w:p w:rsidR="00260C72" w:rsidRPr="006730E3" w:rsidRDefault="00BF7FCB" w:rsidP="00416B3A">
      <w:pPr>
        <w:spacing w:line="312" w:lineRule="auto"/>
        <w:jc w:val="both"/>
        <w:rPr>
          <w:rFonts w:ascii="Calibri" w:hAnsi="Calibri" w:cs="Times New Roman"/>
          <w:sz w:val="24"/>
          <w:szCs w:val="24"/>
        </w:rPr>
      </w:pPr>
      <w:r w:rsidRPr="006730E3">
        <w:rPr>
          <w:rFonts w:ascii="Calibri" w:hAnsi="Calibri" w:cs="Times New Roman"/>
          <w:sz w:val="24"/>
          <w:szCs w:val="24"/>
        </w:rPr>
        <w:t>Para llegar a esta conclusión,</w:t>
      </w:r>
      <w:r w:rsidR="000D3ABE" w:rsidRPr="006730E3">
        <w:rPr>
          <w:rFonts w:ascii="Calibri" w:hAnsi="Calibri" w:cs="Times New Roman"/>
          <w:sz w:val="24"/>
          <w:szCs w:val="24"/>
        </w:rPr>
        <w:t xml:space="preserve"> en primer lugar,</w:t>
      </w:r>
      <w:r w:rsidRPr="006730E3">
        <w:rPr>
          <w:rFonts w:ascii="Calibri" w:hAnsi="Calibri" w:cs="Times New Roman"/>
          <w:sz w:val="24"/>
          <w:szCs w:val="24"/>
        </w:rPr>
        <w:t xml:space="preserve"> pondremos de manifiesto cuáles son las similitudes que observamos entre la LN y la LDCG. </w:t>
      </w:r>
      <w:r w:rsidR="00E60864" w:rsidRPr="006730E3">
        <w:rPr>
          <w:rFonts w:ascii="Calibri" w:hAnsi="Calibri" w:cs="Times New Roman"/>
          <w:sz w:val="24"/>
          <w:szCs w:val="24"/>
        </w:rPr>
        <w:t>Con tal fin</w:t>
      </w:r>
      <w:r w:rsidR="00C4735A" w:rsidRPr="006730E3">
        <w:rPr>
          <w:rFonts w:ascii="Calibri" w:hAnsi="Calibri" w:cs="Times New Roman"/>
          <w:sz w:val="24"/>
          <w:szCs w:val="24"/>
        </w:rPr>
        <w:t xml:space="preserve">, </w:t>
      </w:r>
      <w:r w:rsidR="000D3ABE" w:rsidRPr="006730E3">
        <w:rPr>
          <w:rFonts w:ascii="Calibri" w:hAnsi="Calibri" w:cs="Times New Roman"/>
          <w:sz w:val="24"/>
          <w:szCs w:val="24"/>
        </w:rPr>
        <w:t>por un lado</w:t>
      </w:r>
      <w:r w:rsidR="00C4735A" w:rsidRPr="006730E3">
        <w:rPr>
          <w:rFonts w:ascii="Calibri" w:hAnsi="Calibri" w:cs="Times New Roman"/>
          <w:sz w:val="24"/>
          <w:szCs w:val="24"/>
        </w:rPr>
        <w:t xml:space="preserve">, recordaremos brevemente la regulación material de la LN. Es cierto que, en este punto, las igualdades entre ambas leyes no </w:t>
      </w:r>
      <w:r w:rsidR="00C5314D" w:rsidRPr="006730E3">
        <w:rPr>
          <w:rFonts w:ascii="Calibri" w:hAnsi="Calibri" w:cs="Times New Roman"/>
          <w:sz w:val="24"/>
          <w:szCs w:val="24"/>
        </w:rPr>
        <w:t>las evidencia</w:t>
      </w:r>
      <w:r w:rsidR="00C4735A" w:rsidRPr="006730E3">
        <w:rPr>
          <w:rFonts w:ascii="Calibri" w:hAnsi="Calibri" w:cs="Times New Roman"/>
          <w:sz w:val="24"/>
          <w:szCs w:val="24"/>
        </w:rPr>
        <w:t xml:space="preserve"> el contenido de dichas normas, que no son coincidentes, sino el hecho de que los dos legisladores hayan optado por sujetar a las parejas no casadas a un determinado régimen en defecto de pacto. </w:t>
      </w:r>
      <w:r w:rsidR="000D3ABE" w:rsidRPr="006730E3">
        <w:rPr>
          <w:rFonts w:ascii="Calibri" w:hAnsi="Calibri" w:cs="Times New Roman"/>
          <w:sz w:val="24"/>
          <w:szCs w:val="24"/>
        </w:rPr>
        <w:t>Por otro lado</w:t>
      </w:r>
      <w:r w:rsidR="00C4735A" w:rsidRPr="006730E3">
        <w:rPr>
          <w:rFonts w:ascii="Calibri" w:hAnsi="Calibri" w:cs="Times New Roman"/>
          <w:sz w:val="24"/>
          <w:szCs w:val="24"/>
        </w:rPr>
        <w:t xml:space="preserve">, veremos que tanto la LN como la LDCG </w:t>
      </w:r>
      <w:r w:rsidR="00C5314D" w:rsidRPr="006730E3">
        <w:rPr>
          <w:rFonts w:ascii="Calibri" w:hAnsi="Calibri" w:cs="Times New Roman"/>
          <w:sz w:val="24"/>
          <w:szCs w:val="24"/>
        </w:rPr>
        <w:t>establecen</w:t>
      </w:r>
      <w:r w:rsidR="00C4735A" w:rsidRPr="006730E3">
        <w:rPr>
          <w:rFonts w:ascii="Calibri" w:hAnsi="Calibri" w:cs="Times New Roman"/>
          <w:sz w:val="24"/>
          <w:szCs w:val="24"/>
        </w:rPr>
        <w:t xml:space="preserve"> un requisito </w:t>
      </w:r>
      <w:r w:rsidR="00E60864" w:rsidRPr="006730E3">
        <w:rPr>
          <w:rFonts w:ascii="Calibri" w:hAnsi="Calibri" w:cs="Times New Roman"/>
          <w:sz w:val="24"/>
          <w:szCs w:val="24"/>
        </w:rPr>
        <w:t xml:space="preserve">formal </w:t>
      </w:r>
      <w:r w:rsidR="00C4735A" w:rsidRPr="006730E3">
        <w:rPr>
          <w:rFonts w:ascii="Calibri" w:hAnsi="Calibri" w:cs="Times New Roman"/>
          <w:sz w:val="24"/>
          <w:szCs w:val="24"/>
        </w:rPr>
        <w:t>de aplica</w:t>
      </w:r>
      <w:r w:rsidR="00E60864" w:rsidRPr="006730E3">
        <w:rPr>
          <w:rFonts w:ascii="Calibri" w:hAnsi="Calibri" w:cs="Times New Roman"/>
          <w:sz w:val="24"/>
          <w:szCs w:val="24"/>
        </w:rPr>
        <w:t xml:space="preserve">bilidad de sus previsiones </w:t>
      </w:r>
      <w:r w:rsidR="000D3ABE" w:rsidRPr="006730E3">
        <w:rPr>
          <w:rFonts w:ascii="Calibri" w:hAnsi="Calibri" w:cs="Times New Roman"/>
          <w:sz w:val="24"/>
          <w:szCs w:val="24"/>
        </w:rPr>
        <w:t xml:space="preserve">muy </w:t>
      </w:r>
      <w:proofErr w:type="spellStart"/>
      <w:r w:rsidR="000D3ABE" w:rsidRPr="006730E3">
        <w:rPr>
          <w:rFonts w:ascii="Calibri" w:hAnsi="Calibri" w:cs="Times New Roman"/>
          <w:sz w:val="24"/>
          <w:szCs w:val="24"/>
        </w:rPr>
        <w:t>similiar</w:t>
      </w:r>
      <w:proofErr w:type="spellEnd"/>
      <w:r w:rsidR="00E60864" w:rsidRPr="006730E3">
        <w:rPr>
          <w:rFonts w:ascii="Calibri" w:hAnsi="Calibri" w:cs="Times New Roman"/>
          <w:sz w:val="24"/>
          <w:szCs w:val="24"/>
        </w:rPr>
        <w:t xml:space="preserve"> y que, con relación a la LN, el TC consideró insuficiente para respetar la autonomía de la voluntad de la pareja.</w:t>
      </w:r>
      <w:r w:rsidR="00294B18" w:rsidRPr="006730E3">
        <w:rPr>
          <w:rFonts w:ascii="Calibri" w:hAnsi="Calibri" w:cs="Times New Roman"/>
          <w:sz w:val="24"/>
          <w:szCs w:val="24"/>
        </w:rPr>
        <w:t xml:space="preserve"> </w:t>
      </w:r>
      <w:r w:rsidR="00E60864" w:rsidRPr="006730E3">
        <w:rPr>
          <w:rFonts w:ascii="Calibri" w:hAnsi="Calibri" w:cs="Times New Roman"/>
          <w:sz w:val="24"/>
          <w:szCs w:val="24"/>
        </w:rPr>
        <w:t>Vistas estas analog</w:t>
      </w:r>
      <w:r w:rsidR="000D3ABE" w:rsidRPr="006730E3">
        <w:rPr>
          <w:rFonts w:ascii="Calibri" w:hAnsi="Calibri" w:cs="Times New Roman"/>
          <w:sz w:val="24"/>
          <w:szCs w:val="24"/>
        </w:rPr>
        <w:t>ías procederemos, en segundo lugar</w:t>
      </w:r>
      <w:r w:rsidR="00260C72" w:rsidRPr="006730E3">
        <w:rPr>
          <w:rFonts w:ascii="Calibri" w:hAnsi="Calibri" w:cs="Times New Roman"/>
          <w:sz w:val="24"/>
          <w:szCs w:val="24"/>
        </w:rPr>
        <w:t>, a valorar la doctrina que el TC establece sobre las previsiones de la LN atinentes a los efectos civiles de la pareja y a extrapolar</w:t>
      </w:r>
      <w:r w:rsidR="000740E2" w:rsidRPr="006730E3">
        <w:rPr>
          <w:rFonts w:ascii="Calibri" w:hAnsi="Calibri" w:cs="Times New Roman"/>
          <w:sz w:val="24"/>
          <w:szCs w:val="24"/>
        </w:rPr>
        <w:t>la a la LDCG</w:t>
      </w:r>
      <w:r w:rsidR="00260C72" w:rsidRPr="006730E3">
        <w:rPr>
          <w:rFonts w:ascii="Calibri" w:hAnsi="Calibri" w:cs="Times New Roman"/>
          <w:sz w:val="24"/>
          <w:szCs w:val="24"/>
        </w:rPr>
        <w:t>.</w:t>
      </w:r>
    </w:p>
    <w:p w:rsidR="005D403A" w:rsidRPr="006730E3" w:rsidRDefault="000740E2" w:rsidP="00416B3A">
      <w:pPr>
        <w:spacing w:line="312" w:lineRule="auto"/>
        <w:jc w:val="both"/>
        <w:rPr>
          <w:rFonts w:ascii="Calibri" w:hAnsi="Calibri" w:cs="Times New Roman"/>
          <w:sz w:val="24"/>
          <w:szCs w:val="24"/>
        </w:rPr>
      </w:pPr>
      <w:r w:rsidRPr="006730E3">
        <w:rPr>
          <w:rFonts w:ascii="Calibri" w:hAnsi="Calibri" w:cs="Times New Roman"/>
          <w:sz w:val="24"/>
          <w:szCs w:val="24"/>
        </w:rPr>
        <w:t>D</w:t>
      </w:r>
      <w:r w:rsidR="00294B18" w:rsidRPr="006730E3">
        <w:rPr>
          <w:rFonts w:ascii="Calibri" w:hAnsi="Calibri" w:cs="Times New Roman"/>
          <w:sz w:val="24"/>
          <w:szCs w:val="24"/>
        </w:rPr>
        <w:t xml:space="preserve">e la misma manera que el legislador gallego decidió someter a la pareja de la DAT al régimen de la sociedad de gananciales, el legislador navarro, seis años antes, también quiso dotar de un contenido reglado a la relación </w:t>
      </w:r>
      <w:proofErr w:type="spellStart"/>
      <w:r w:rsidR="00294B18" w:rsidRPr="006730E3">
        <w:rPr>
          <w:rFonts w:ascii="Calibri" w:hAnsi="Calibri" w:cs="Times New Roman"/>
          <w:sz w:val="24"/>
          <w:szCs w:val="24"/>
        </w:rPr>
        <w:t>convivencial</w:t>
      </w:r>
      <w:proofErr w:type="spellEnd"/>
      <w:r w:rsidR="00294B18" w:rsidRPr="006730E3">
        <w:rPr>
          <w:rFonts w:ascii="Calibri" w:hAnsi="Calibri" w:cs="Times New Roman"/>
          <w:sz w:val="24"/>
          <w:szCs w:val="24"/>
        </w:rPr>
        <w:t xml:space="preserve">. Sin embargo, en vez de optar por la </w:t>
      </w:r>
      <w:r w:rsidR="00294B18" w:rsidRPr="006730E3">
        <w:rPr>
          <w:rFonts w:ascii="Calibri" w:hAnsi="Calibri" w:cs="Times New Roman"/>
          <w:sz w:val="24"/>
          <w:szCs w:val="24"/>
        </w:rPr>
        <w:lastRenderedPageBreak/>
        <w:t xml:space="preserve">extrapolación de un régimen económico matrimonial a la pareja no casada, diseñó él mismo una regulación </w:t>
      </w:r>
      <w:r w:rsidR="00294B18" w:rsidRPr="006730E3">
        <w:rPr>
          <w:rFonts w:ascii="Calibri" w:hAnsi="Calibri" w:cs="Times New Roman"/>
          <w:i/>
          <w:sz w:val="24"/>
          <w:szCs w:val="24"/>
        </w:rPr>
        <w:t>ad hoc</w:t>
      </w:r>
      <w:r w:rsidR="00294B18" w:rsidRPr="006730E3">
        <w:rPr>
          <w:rFonts w:ascii="Calibri" w:hAnsi="Calibri" w:cs="Times New Roman"/>
          <w:sz w:val="24"/>
          <w:szCs w:val="24"/>
        </w:rPr>
        <w:t xml:space="preserve"> de sus relaciones personales y patrimoniales</w:t>
      </w:r>
      <w:r w:rsidR="005D403A" w:rsidRPr="006730E3">
        <w:rPr>
          <w:rFonts w:ascii="Calibri" w:hAnsi="Calibri" w:cs="Times New Roman"/>
          <w:sz w:val="24"/>
          <w:szCs w:val="24"/>
        </w:rPr>
        <w:t xml:space="preserve">. </w:t>
      </w:r>
      <w:r w:rsidR="00294B18" w:rsidRPr="006730E3">
        <w:rPr>
          <w:rFonts w:ascii="Calibri" w:hAnsi="Calibri" w:cs="Times New Roman"/>
          <w:sz w:val="24"/>
          <w:szCs w:val="24"/>
        </w:rPr>
        <w:t xml:space="preserve"> </w:t>
      </w:r>
      <w:r w:rsidR="005D403A" w:rsidRPr="006730E3">
        <w:rPr>
          <w:rFonts w:ascii="Calibri" w:hAnsi="Calibri" w:cs="Times New Roman"/>
          <w:sz w:val="24"/>
          <w:szCs w:val="24"/>
        </w:rPr>
        <w:t xml:space="preserve">Este sistema se contenía, a lo que ahora nos interesa, en los arts. </w:t>
      </w:r>
      <w:r w:rsidR="00294B18" w:rsidRPr="006730E3">
        <w:rPr>
          <w:rFonts w:ascii="Calibri" w:hAnsi="Calibri" w:cs="Times New Roman"/>
          <w:sz w:val="24"/>
          <w:szCs w:val="24"/>
        </w:rPr>
        <w:t xml:space="preserve"> </w:t>
      </w:r>
      <w:r w:rsidR="00C02ED7" w:rsidRPr="006730E3">
        <w:rPr>
          <w:rFonts w:ascii="Calibri" w:hAnsi="Calibri" w:cs="Times New Roman"/>
          <w:sz w:val="24"/>
          <w:szCs w:val="24"/>
        </w:rPr>
        <w:t xml:space="preserve">5 a 7 </w:t>
      </w:r>
      <w:r w:rsidR="00CC7C04" w:rsidRPr="006730E3">
        <w:rPr>
          <w:rFonts w:ascii="Calibri" w:hAnsi="Calibri" w:cs="Times New Roman"/>
          <w:sz w:val="24"/>
          <w:szCs w:val="24"/>
        </w:rPr>
        <w:t>LN</w:t>
      </w:r>
      <w:r w:rsidR="005D403A" w:rsidRPr="006730E3">
        <w:rPr>
          <w:rFonts w:ascii="Calibri" w:hAnsi="Calibri" w:cs="Times New Roman"/>
          <w:sz w:val="24"/>
          <w:szCs w:val="24"/>
        </w:rPr>
        <w:t xml:space="preserve">. Brevemente, podemos resumir estos preceptos señalando que, </w:t>
      </w:r>
      <w:r w:rsidR="00CF15F1" w:rsidRPr="006730E3">
        <w:rPr>
          <w:rFonts w:ascii="Calibri" w:hAnsi="Calibri" w:cs="Times New Roman"/>
          <w:sz w:val="24"/>
          <w:szCs w:val="24"/>
        </w:rPr>
        <w:t>como regla</w:t>
      </w:r>
      <w:r w:rsidR="005D403A" w:rsidRPr="006730E3">
        <w:rPr>
          <w:rFonts w:ascii="Calibri" w:hAnsi="Calibri" w:cs="Times New Roman"/>
          <w:sz w:val="24"/>
          <w:szCs w:val="24"/>
        </w:rPr>
        <w:t xml:space="preserve">, se preveía que fuese la propia pareja quien regulase su relación mediante documento público o privado (art. 5.1). </w:t>
      </w:r>
      <w:r w:rsidR="00CF15F1" w:rsidRPr="006730E3">
        <w:rPr>
          <w:rFonts w:ascii="Calibri" w:hAnsi="Calibri" w:cs="Times New Roman"/>
          <w:sz w:val="24"/>
          <w:szCs w:val="24"/>
        </w:rPr>
        <w:t>Pero, para</w:t>
      </w:r>
      <w:r w:rsidR="005D403A" w:rsidRPr="006730E3">
        <w:rPr>
          <w:rFonts w:ascii="Calibri" w:hAnsi="Calibri" w:cs="Times New Roman"/>
          <w:sz w:val="24"/>
          <w:szCs w:val="24"/>
        </w:rPr>
        <w:t xml:space="preserve"> el caso de que no hiciesen uso de esta opción, el legislador estableció unas </w:t>
      </w:r>
      <w:r w:rsidR="00CF15F1" w:rsidRPr="006730E3">
        <w:rPr>
          <w:rFonts w:ascii="Calibri" w:hAnsi="Calibri" w:cs="Times New Roman"/>
          <w:sz w:val="24"/>
          <w:szCs w:val="24"/>
        </w:rPr>
        <w:t>normas</w:t>
      </w:r>
      <w:r w:rsidR="005D403A" w:rsidRPr="006730E3">
        <w:rPr>
          <w:rFonts w:ascii="Calibri" w:hAnsi="Calibri" w:cs="Times New Roman"/>
          <w:sz w:val="24"/>
          <w:szCs w:val="24"/>
        </w:rPr>
        <w:t xml:space="preserve"> a aplicar en defecto de pacto, como la contribución proporcional de ambos miembros de la pareja </w:t>
      </w:r>
      <w:r w:rsidR="00CF15F1" w:rsidRPr="006730E3">
        <w:rPr>
          <w:rFonts w:ascii="Calibri" w:hAnsi="Calibri" w:cs="Times New Roman"/>
          <w:sz w:val="24"/>
          <w:szCs w:val="24"/>
        </w:rPr>
        <w:t>para</w:t>
      </w:r>
      <w:r w:rsidR="005D403A" w:rsidRPr="006730E3">
        <w:rPr>
          <w:rFonts w:ascii="Calibri" w:hAnsi="Calibri" w:cs="Times New Roman"/>
          <w:sz w:val="24"/>
          <w:szCs w:val="24"/>
        </w:rPr>
        <w:t xml:space="preserve"> mantener la vivienda y atender los gastos comunes (art. 5.3)</w:t>
      </w:r>
      <w:r w:rsidR="00CF15F1" w:rsidRPr="006730E3">
        <w:rPr>
          <w:rFonts w:ascii="Calibri" w:hAnsi="Calibri" w:cs="Times New Roman"/>
          <w:sz w:val="24"/>
          <w:szCs w:val="24"/>
        </w:rPr>
        <w:t>, respecto de lo cual se sancionaba la responsabilidad de ambos frente a terceros (art. 7),</w:t>
      </w:r>
      <w:r w:rsidR="005D403A" w:rsidRPr="006730E3">
        <w:rPr>
          <w:rFonts w:ascii="Calibri" w:hAnsi="Calibri" w:cs="Times New Roman"/>
          <w:sz w:val="24"/>
          <w:szCs w:val="24"/>
        </w:rPr>
        <w:t xml:space="preserve"> o el derecho a reclamar una compensación económica si se constataban</w:t>
      </w:r>
      <w:r w:rsidR="00CF15F1" w:rsidRPr="006730E3">
        <w:rPr>
          <w:rFonts w:ascii="Calibri" w:hAnsi="Calibri" w:cs="Times New Roman"/>
          <w:sz w:val="24"/>
          <w:szCs w:val="24"/>
        </w:rPr>
        <w:t xml:space="preserve"> al cesar la convivencia</w:t>
      </w:r>
      <w:r w:rsidR="005D403A" w:rsidRPr="006730E3">
        <w:rPr>
          <w:rFonts w:ascii="Calibri" w:hAnsi="Calibri" w:cs="Times New Roman"/>
          <w:sz w:val="24"/>
          <w:szCs w:val="24"/>
        </w:rPr>
        <w:t xml:space="preserve"> una serie de desequilibrios</w:t>
      </w:r>
      <w:r w:rsidR="00CF15F1" w:rsidRPr="006730E3">
        <w:rPr>
          <w:rFonts w:ascii="Calibri" w:hAnsi="Calibri" w:cs="Times New Roman"/>
          <w:sz w:val="24"/>
          <w:szCs w:val="24"/>
        </w:rPr>
        <w:t xml:space="preserve"> precisados por la ley</w:t>
      </w:r>
      <w:r w:rsidR="005D403A" w:rsidRPr="006730E3">
        <w:rPr>
          <w:rFonts w:ascii="Calibri" w:hAnsi="Calibri" w:cs="Times New Roman"/>
          <w:sz w:val="24"/>
          <w:szCs w:val="24"/>
        </w:rPr>
        <w:t xml:space="preserve"> (art. 5.5). Del mismo modo, se disponían</w:t>
      </w:r>
      <w:r w:rsidR="00CF15F1" w:rsidRPr="006730E3">
        <w:rPr>
          <w:rFonts w:ascii="Calibri" w:hAnsi="Calibri" w:cs="Times New Roman"/>
          <w:sz w:val="24"/>
          <w:szCs w:val="24"/>
        </w:rPr>
        <w:t xml:space="preserve"> para tal hipótesis</w:t>
      </w:r>
      <w:r w:rsidR="005D403A" w:rsidRPr="006730E3">
        <w:rPr>
          <w:rFonts w:ascii="Calibri" w:hAnsi="Calibri" w:cs="Times New Roman"/>
          <w:sz w:val="24"/>
          <w:szCs w:val="24"/>
        </w:rPr>
        <w:t xml:space="preserve"> unos derechos mínimos a contemplar en todo caso</w:t>
      </w:r>
      <w:r w:rsidR="00CF15F1" w:rsidRPr="006730E3">
        <w:rPr>
          <w:rFonts w:ascii="Calibri" w:hAnsi="Calibri" w:cs="Times New Roman"/>
          <w:sz w:val="24"/>
          <w:szCs w:val="24"/>
        </w:rPr>
        <w:t>,</w:t>
      </w:r>
      <w:r w:rsidR="005D403A" w:rsidRPr="006730E3">
        <w:rPr>
          <w:rFonts w:ascii="Calibri" w:hAnsi="Calibri" w:cs="Times New Roman"/>
          <w:sz w:val="24"/>
          <w:szCs w:val="24"/>
        </w:rPr>
        <w:t xml:space="preserve"> como la percepción de una </w:t>
      </w:r>
      <w:r w:rsidR="00CF15F1" w:rsidRPr="006730E3">
        <w:rPr>
          <w:rFonts w:ascii="Calibri" w:hAnsi="Calibri" w:cs="Times New Roman"/>
          <w:sz w:val="24"/>
          <w:szCs w:val="24"/>
        </w:rPr>
        <w:t xml:space="preserve">pensión periódica cuando uno de los miembros de la pareja o los hijos comunes lo precisasen para su sustento en los casos indicados por la ley (art. 5.4). </w:t>
      </w:r>
    </w:p>
    <w:p w:rsidR="003A1F86" w:rsidRPr="006730E3" w:rsidRDefault="00CF15F1"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Hasta aquí, como dijimos, no se observa ninguna equivalencia entre las leyes gallega y navarra. Sin embargo, </w:t>
      </w:r>
      <w:r w:rsidR="003A1F86" w:rsidRPr="006730E3">
        <w:rPr>
          <w:rFonts w:ascii="Calibri" w:hAnsi="Calibri" w:cs="Times New Roman"/>
          <w:sz w:val="24"/>
          <w:szCs w:val="24"/>
        </w:rPr>
        <w:t>las similitudes entre ambas se observan en los requisitos necesarios para la sujeción de la pareja no casada a las previsiones de la ley.</w:t>
      </w:r>
    </w:p>
    <w:p w:rsidR="003A1F86" w:rsidRPr="006730E3" w:rsidRDefault="003A1F86" w:rsidP="00416B3A">
      <w:pPr>
        <w:spacing w:line="312" w:lineRule="auto"/>
        <w:jc w:val="both"/>
        <w:rPr>
          <w:rFonts w:ascii="Calibri" w:hAnsi="Calibri" w:cs="Times New Roman"/>
          <w:sz w:val="24"/>
          <w:szCs w:val="24"/>
        </w:rPr>
      </w:pPr>
      <w:r w:rsidRPr="006730E3">
        <w:rPr>
          <w:rFonts w:ascii="Calibri" w:hAnsi="Calibri" w:cs="Times New Roman"/>
          <w:sz w:val="24"/>
          <w:szCs w:val="24"/>
        </w:rPr>
        <w:t>La aplicación de la LN dependía de tres presupuestos alternativos: (i) la convivencia de la pareja como mínimo durante el período ininterrumpido de un año, (ii) la existencia de descendencia en común y la mera convivencia sin necesidad de un período mínimo de duración o (iii) la manifestación por parte de la pareja en documento público de su voluntad de constituirse en pareja estable (art. 2.2).</w:t>
      </w:r>
    </w:p>
    <w:p w:rsidR="003A1F86" w:rsidRPr="006730E3" w:rsidRDefault="003A1F86"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El TC declara inconstitucionales los dos primeros supuestos, correspondientes a un modelo factual, al entender, como luego explicaremos, que a la pareja se le atribuye </w:t>
      </w:r>
      <w:r w:rsidRPr="006730E3">
        <w:rPr>
          <w:rFonts w:ascii="Calibri" w:hAnsi="Calibri" w:cs="Times New Roman"/>
          <w:i/>
          <w:sz w:val="24"/>
          <w:szCs w:val="24"/>
        </w:rPr>
        <w:t xml:space="preserve">ex </w:t>
      </w:r>
      <w:proofErr w:type="spellStart"/>
      <w:r w:rsidRPr="006730E3">
        <w:rPr>
          <w:rFonts w:ascii="Calibri" w:hAnsi="Calibri" w:cs="Times New Roman"/>
          <w:i/>
          <w:sz w:val="24"/>
          <w:szCs w:val="24"/>
        </w:rPr>
        <w:t>lege</w:t>
      </w:r>
      <w:proofErr w:type="spellEnd"/>
      <w:r w:rsidRPr="006730E3">
        <w:rPr>
          <w:rFonts w:ascii="Calibri" w:hAnsi="Calibri" w:cs="Times New Roman"/>
          <w:sz w:val="24"/>
          <w:szCs w:val="24"/>
        </w:rPr>
        <w:t xml:space="preserve"> una serie de derechos y obligaciones prescindiendo de su voluntad conjunta de someterse a las previsiones de la Ley Foral.</w:t>
      </w:r>
      <w:r w:rsidR="00BF3D8C" w:rsidRPr="006730E3">
        <w:rPr>
          <w:rFonts w:ascii="Calibri" w:hAnsi="Calibri" w:cs="Times New Roman"/>
          <w:sz w:val="24"/>
          <w:szCs w:val="24"/>
        </w:rPr>
        <w:t xml:space="preserve"> Respecto al tercer supuesto, que es el que nos interesa a nosotros </w:t>
      </w:r>
      <w:r w:rsidR="00953ED8" w:rsidRPr="006730E3">
        <w:rPr>
          <w:rFonts w:ascii="Calibri" w:hAnsi="Calibri" w:cs="Times New Roman"/>
          <w:sz w:val="24"/>
          <w:szCs w:val="24"/>
        </w:rPr>
        <w:t>al corresponderse a</w:t>
      </w:r>
      <w:r w:rsidR="00BF3D8C" w:rsidRPr="006730E3">
        <w:rPr>
          <w:rFonts w:ascii="Calibri" w:hAnsi="Calibri" w:cs="Times New Roman"/>
          <w:sz w:val="24"/>
          <w:szCs w:val="24"/>
        </w:rPr>
        <w:t xml:space="preserve"> un modelo formal de regulación de las parejas no casadas</w:t>
      </w:r>
      <w:r w:rsidRPr="006730E3">
        <w:rPr>
          <w:rFonts w:ascii="Calibri" w:hAnsi="Calibri" w:cs="Times New Roman"/>
          <w:sz w:val="24"/>
          <w:szCs w:val="24"/>
        </w:rPr>
        <w:t xml:space="preserve">, el TC comienza señalando que es respetuoso con el art. 10.1 CE y con la libre voluntad de los integrantes de la pareja, pues en tal caso son ellos </w:t>
      </w:r>
      <w:r w:rsidR="00BF3D8C" w:rsidRPr="006730E3">
        <w:rPr>
          <w:rFonts w:ascii="Calibri" w:hAnsi="Calibri" w:cs="Times New Roman"/>
          <w:sz w:val="24"/>
          <w:szCs w:val="24"/>
        </w:rPr>
        <w:t xml:space="preserve">quienes se acogen libremente a la previsión de la Ley. </w:t>
      </w:r>
      <w:r w:rsidRPr="006730E3">
        <w:rPr>
          <w:rFonts w:ascii="Calibri" w:hAnsi="Calibri" w:cs="Times New Roman"/>
          <w:sz w:val="24"/>
          <w:szCs w:val="24"/>
        </w:rPr>
        <w:t xml:space="preserve">Pero a continuación matiza, en alusión a los arts. 5 a 7 LN, que tal conclusión «no </w:t>
      </w:r>
      <w:proofErr w:type="spellStart"/>
      <w:r w:rsidRPr="006730E3">
        <w:rPr>
          <w:rFonts w:ascii="Calibri" w:hAnsi="Calibri" w:cs="Times New Roman"/>
          <w:sz w:val="24"/>
          <w:szCs w:val="24"/>
        </w:rPr>
        <w:t>empece</w:t>
      </w:r>
      <w:proofErr w:type="spellEnd"/>
      <w:r w:rsidRPr="006730E3">
        <w:rPr>
          <w:rFonts w:ascii="Calibri" w:hAnsi="Calibri" w:cs="Times New Roman"/>
          <w:sz w:val="24"/>
          <w:szCs w:val="24"/>
        </w:rPr>
        <w:t xml:space="preserve"> que puedan declararse inconstitucionales los preceptos de la Ley que por su naturaleza imperativa </w:t>
      </w:r>
      <w:r w:rsidRPr="006730E3">
        <w:rPr>
          <w:rFonts w:ascii="Calibri" w:hAnsi="Calibri" w:cs="Times New Roman"/>
          <w:iCs/>
          <w:sz w:val="24"/>
          <w:szCs w:val="24"/>
        </w:rPr>
        <w:t>[sic]</w:t>
      </w:r>
      <w:r w:rsidRPr="006730E3">
        <w:rPr>
          <w:rFonts w:ascii="Calibri" w:hAnsi="Calibri" w:cs="Times New Roman"/>
          <w:sz w:val="24"/>
          <w:szCs w:val="24"/>
        </w:rPr>
        <w:t xml:space="preserve"> prescinden de la exigencia de verificación de la asunción voluntaria de sus efectos por los miembros de la pareja»</w:t>
      </w:r>
      <w:r w:rsidRPr="006730E3">
        <w:rPr>
          <w:rStyle w:val="Refdenotaalpie"/>
          <w:rFonts w:ascii="Calibri" w:hAnsi="Calibri" w:cs="Times New Roman"/>
          <w:sz w:val="24"/>
          <w:szCs w:val="24"/>
        </w:rPr>
        <w:footnoteReference w:id="49"/>
      </w:r>
      <w:r w:rsidRPr="006730E3">
        <w:rPr>
          <w:rFonts w:ascii="Calibri" w:hAnsi="Calibri" w:cs="Times New Roman"/>
          <w:sz w:val="24"/>
          <w:szCs w:val="24"/>
        </w:rPr>
        <w:t>.</w:t>
      </w:r>
    </w:p>
    <w:p w:rsidR="005D403A" w:rsidRPr="006730E3" w:rsidRDefault="00BF3D8C"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Si realizamos una comparativa entre la LN y la LDCG, a criterio del TC, es insuficiente que los convivientes cumplan los requisitos exigidos (manifestación de su voluntad de constituirse como pareja estable en documento público en el caso de la LN y la inscripción en el RPHG junto con la manifestación de su voluntad de equiparar los efectos de su relación a los del matrimonio en el caso de la LDCG) para la aplicación de las previsiones legales relativas a los efectos civiles de su relación.</w:t>
      </w:r>
    </w:p>
    <w:p w:rsidR="0037405B" w:rsidRPr="006730E3" w:rsidRDefault="00D21274" w:rsidP="00416B3A">
      <w:pPr>
        <w:spacing w:line="312" w:lineRule="auto"/>
        <w:jc w:val="both"/>
        <w:rPr>
          <w:rFonts w:ascii="Calibri" w:hAnsi="Calibri" w:cs="Times New Roman"/>
          <w:iCs/>
          <w:sz w:val="24"/>
          <w:szCs w:val="24"/>
        </w:rPr>
      </w:pPr>
      <w:r w:rsidRPr="006730E3">
        <w:rPr>
          <w:rFonts w:ascii="Calibri" w:hAnsi="Calibri" w:cs="Times New Roman"/>
          <w:iCs/>
          <w:sz w:val="24"/>
          <w:szCs w:val="24"/>
        </w:rPr>
        <w:t>Para el TC,</w:t>
      </w:r>
      <w:r w:rsidR="00324A5E" w:rsidRPr="006730E3">
        <w:rPr>
          <w:rFonts w:ascii="Calibri" w:hAnsi="Calibri" w:cs="Times New Roman"/>
          <w:iCs/>
          <w:sz w:val="24"/>
          <w:szCs w:val="24"/>
        </w:rPr>
        <w:t xml:space="preserve"> el límite principal de toda regulación de la pareja </w:t>
      </w:r>
      <w:r w:rsidRPr="006730E3">
        <w:rPr>
          <w:rFonts w:ascii="Calibri" w:hAnsi="Calibri" w:cs="Times New Roman"/>
          <w:iCs/>
          <w:sz w:val="24"/>
          <w:szCs w:val="24"/>
        </w:rPr>
        <w:t>no casada</w:t>
      </w:r>
      <w:r w:rsidR="00324A5E" w:rsidRPr="006730E3">
        <w:rPr>
          <w:rFonts w:ascii="Calibri" w:hAnsi="Calibri" w:cs="Times New Roman"/>
          <w:iCs/>
          <w:sz w:val="24"/>
          <w:szCs w:val="24"/>
        </w:rPr>
        <w:t xml:space="preserve"> es la libertad y la autonomía privada de sus integrantes. Así apunta que «</w:t>
      </w:r>
      <w:r w:rsidR="00324A5E" w:rsidRPr="006730E3">
        <w:rPr>
          <w:rFonts w:ascii="Calibri" w:hAnsi="Calibri" w:cs="Times New Roman"/>
          <w:sz w:val="24"/>
          <w:szCs w:val="24"/>
        </w:rPr>
        <w:t>el régimen jurídico que el legislador puede establecer al efecto deberá ser eminentemente dispositivo y no imperativo, so pena de vulnerar la libertad consagrada en el art. 10.1 CE</w:t>
      </w:r>
      <w:r w:rsidR="00787F9B" w:rsidRPr="006730E3">
        <w:rPr>
          <w:rFonts w:ascii="Calibri" w:hAnsi="Calibri" w:cs="Times New Roman"/>
          <w:iCs/>
          <w:sz w:val="24"/>
          <w:szCs w:val="24"/>
        </w:rPr>
        <w:t xml:space="preserve">». No obstante, </w:t>
      </w:r>
      <w:r w:rsidR="00324A5E" w:rsidRPr="006730E3">
        <w:rPr>
          <w:rFonts w:ascii="Calibri" w:hAnsi="Calibri" w:cs="Times New Roman"/>
          <w:iCs/>
          <w:sz w:val="24"/>
          <w:szCs w:val="24"/>
        </w:rPr>
        <w:t xml:space="preserve">a continuación </w:t>
      </w:r>
      <w:r w:rsidR="00787F9B" w:rsidRPr="006730E3">
        <w:rPr>
          <w:rFonts w:ascii="Calibri" w:hAnsi="Calibri" w:cs="Times New Roman"/>
          <w:iCs/>
          <w:sz w:val="24"/>
          <w:szCs w:val="24"/>
        </w:rPr>
        <w:t>realiza la siguiente precisión:</w:t>
      </w:r>
      <w:r w:rsidR="00324A5E" w:rsidRPr="006730E3">
        <w:rPr>
          <w:rFonts w:ascii="Calibri" w:hAnsi="Calibri" w:cs="Times New Roman"/>
          <w:iCs/>
          <w:sz w:val="24"/>
          <w:szCs w:val="24"/>
        </w:rPr>
        <w:t xml:space="preserve"> «</w:t>
      </w:r>
      <w:r w:rsidR="00324A5E" w:rsidRPr="006730E3">
        <w:rPr>
          <w:rFonts w:ascii="Calibri" w:hAnsi="Calibri" w:cs="Times New Roman"/>
          <w:sz w:val="24"/>
          <w:szCs w:val="24"/>
        </w:rPr>
        <w:t>únicamente podrán considerarse respetuosos de la libertad personal aquellos efectos jurídicos cuya operatividad se condiciona a su previa asunción por ambos miembros de la pareja</w:t>
      </w:r>
      <w:r w:rsidR="00324A5E" w:rsidRPr="006730E3">
        <w:rPr>
          <w:rFonts w:ascii="Calibri" w:hAnsi="Calibri" w:cs="Times New Roman"/>
          <w:iCs/>
          <w:sz w:val="24"/>
          <w:szCs w:val="24"/>
        </w:rPr>
        <w:t>»</w:t>
      </w:r>
      <w:r w:rsidR="00324A5E" w:rsidRPr="006730E3">
        <w:rPr>
          <w:rStyle w:val="Refdenotaalpie"/>
          <w:rFonts w:ascii="Calibri" w:hAnsi="Calibri" w:cs="Times New Roman"/>
          <w:iCs/>
          <w:sz w:val="24"/>
          <w:szCs w:val="24"/>
        </w:rPr>
        <w:footnoteReference w:id="50"/>
      </w:r>
      <w:r w:rsidR="00F23C7B" w:rsidRPr="006730E3">
        <w:rPr>
          <w:rFonts w:ascii="Calibri" w:hAnsi="Calibri" w:cs="Times New Roman"/>
          <w:iCs/>
          <w:sz w:val="24"/>
          <w:szCs w:val="24"/>
        </w:rPr>
        <w:t>.</w:t>
      </w:r>
    </w:p>
    <w:p w:rsidR="00F23C7B" w:rsidRPr="006730E3" w:rsidRDefault="00F23C7B" w:rsidP="00416B3A">
      <w:pPr>
        <w:spacing w:line="312" w:lineRule="auto"/>
        <w:jc w:val="both"/>
        <w:rPr>
          <w:rFonts w:ascii="Calibri" w:hAnsi="Calibri" w:cs="Times New Roman"/>
          <w:iCs/>
          <w:sz w:val="24"/>
          <w:szCs w:val="24"/>
        </w:rPr>
      </w:pPr>
      <w:r w:rsidRPr="006730E3">
        <w:rPr>
          <w:rFonts w:ascii="Calibri" w:hAnsi="Calibri" w:cs="Times New Roman"/>
          <w:iCs/>
          <w:sz w:val="24"/>
          <w:szCs w:val="24"/>
        </w:rPr>
        <w:t>Con base en tal premisa, el TC</w:t>
      </w:r>
      <w:r w:rsidR="003A6C2F" w:rsidRPr="006730E3">
        <w:rPr>
          <w:rFonts w:ascii="Calibri" w:hAnsi="Calibri" w:cs="Times New Roman"/>
          <w:iCs/>
          <w:sz w:val="24"/>
          <w:szCs w:val="24"/>
        </w:rPr>
        <w:t xml:space="preserve"> sostiene que la</w:t>
      </w:r>
      <w:r w:rsidR="00B62BFD" w:rsidRPr="006730E3">
        <w:rPr>
          <w:rFonts w:ascii="Calibri" w:hAnsi="Calibri" w:cs="Times New Roman"/>
          <w:iCs/>
          <w:sz w:val="24"/>
          <w:szCs w:val="24"/>
        </w:rPr>
        <w:t>s previsiones de la</w:t>
      </w:r>
      <w:r w:rsidR="003A6C2F" w:rsidRPr="006730E3">
        <w:rPr>
          <w:rFonts w:ascii="Calibri" w:hAnsi="Calibri" w:cs="Times New Roman"/>
          <w:iCs/>
          <w:sz w:val="24"/>
          <w:szCs w:val="24"/>
        </w:rPr>
        <w:t xml:space="preserve"> LN responden «básicamente a un modelo imperativo</w:t>
      </w:r>
      <w:r w:rsidR="004E41C2" w:rsidRPr="006730E3">
        <w:rPr>
          <w:rFonts w:ascii="Calibri" w:hAnsi="Calibri" w:cs="Times New Roman"/>
          <w:iCs/>
          <w:sz w:val="24"/>
          <w:szCs w:val="24"/>
        </w:rPr>
        <w:t xml:space="preserve"> [sic]</w:t>
      </w:r>
      <w:r w:rsidR="003A6C2F" w:rsidRPr="006730E3">
        <w:rPr>
          <w:rFonts w:ascii="Calibri" w:hAnsi="Calibri" w:cs="Times New Roman"/>
          <w:iCs/>
          <w:sz w:val="24"/>
          <w:szCs w:val="24"/>
        </w:rPr>
        <w:t>,</w:t>
      </w:r>
      <w:r w:rsidR="003A6C2F" w:rsidRPr="006730E3">
        <w:rPr>
          <w:rFonts w:ascii="Calibri" w:hAnsi="Calibri" w:cs="Times New Roman"/>
          <w:sz w:val="24"/>
          <w:szCs w:val="24"/>
        </w:rPr>
        <w:t xml:space="preserve"> bien alejado del régimen dispositivo que resultaría acorde a las características de las uniones de hecho, y a las exigencias del libre desarrollo de la personalidad recogido en el art. 10.1 CE</w:t>
      </w:r>
      <w:r w:rsidR="003A6C2F" w:rsidRPr="006730E3">
        <w:rPr>
          <w:rFonts w:ascii="Calibri" w:hAnsi="Calibri" w:cs="Times New Roman"/>
          <w:iCs/>
          <w:sz w:val="24"/>
          <w:szCs w:val="24"/>
        </w:rPr>
        <w:t>»</w:t>
      </w:r>
      <w:r w:rsidR="003A6C2F" w:rsidRPr="006730E3">
        <w:rPr>
          <w:rStyle w:val="Refdenotaalpie"/>
          <w:rFonts w:ascii="Calibri" w:hAnsi="Calibri" w:cs="Times New Roman"/>
          <w:iCs/>
          <w:sz w:val="24"/>
          <w:szCs w:val="24"/>
        </w:rPr>
        <w:footnoteReference w:id="51"/>
      </w:r>
      <w:r w:rsidR="003A6C2F" w:rsidRPr="006730E3">
        <w:rPr>
          <w:rFonts w:ascii="Calibri" w:hAnsi="Calibri" w:cs="Times New Roman"/>
          <w:iCs/>
          <w:sz w:val="24"/>
          <w:szCs w:val="24"/>
        </w:rPr>
        <w:t>. Sus razonamientos</w:t>
      </w:r>
      <w:r w:rsidR="005A5E22" w:rsidRPr="006730E3">
        <w:rPr>
          <w:rFonts w:ascii="Calibri" w:hAnsi="Calibri" w:cs="Times New Roman"/>
          <w:iCs/>
          <w:sz w:val="24"/>
          <w:szCs w:val="24"/>
        </w:rPr>
        <w:t xml:space="preserve">, que ahora nos limitamos </w:t>
      </w:r>
      <w:r w:rsidR="000B6337" w:rsidRPr="006730E3">
        <w:rPr>
          <w:rFonts w:ascii="Calibri" w:hAnsi="Calibri" w:cs="Times New Roman"/>
          <w:iCs/>
          <w:sz w:val="24"/>
          <w:szCs w:val="24"/>
        </w:rPr>
        <w:t>a transcribir</w:t>
      </w:r>
      <w:r w:rsidR="005A5E22" w:rsidRPr="006730E3">
        <w:rPr>
          <w:rFonts w:ascii="Calibri" w:hAnsi="Calibri" w:cs="Times New Roman"/>
          <w:iCs/>
          <w:sz w:val="24"/>
          <w:szCs w:val="24"/>
        </w:rPr>
        <w:t>,</w:t>
      </w:r>
      <w:r w:rsidR="003A6C2F" w:rsidRPr="006730E3">
        <w:rPr>
          <w:rFonts w:ascii="Calibri" w:hAnsi="Calibri" w:cs="Times New Roman"/>
          <w:iCs/>
          <w:sz w:val="24"/>
          <w:szCs w:val="24"/>
        </w:rPr>
        <w:t xml:space="preserve"> son básicamente los siguientes:</w:t>
      </w:r>
    </w:p>
    <w:p w:rsidR="003A6C2F" w:rsidRPr="006730E3" w:rsidRDefault="003A6C2F" w:rsidP="00416B3A">
      <w:pPr>
        <w:spacing w:line="312" w:lineRule="auto"/>
        <w:jc w:val="both"/>
        <w:rPr>
          <w:rFonts w:ascii="Calibri" w:hAnsi="Calibri" w:cs="Times New Roman"/>
          <w:iCs/>
          <w:sz w:val="24"/>
          <w:szCs w:val="24"/>
        </w:rPr>
      </w:pPr>
      <w:r w:rsidRPr="006730E3">
        <w:rPr>
          <w:rFonts w:ascii="Calibri" w:hAnsi="Calibri" w:cs="Times New Roman"/>
          <w:iCs/>
          <w:sz w:val="24"/>
          <w:szCs w:val="24"/>
        </w:rPr>
        <w:t>En primer lugar,</w:t>
      </w:r>
      <w:r w:rsidR="0008058D" w:rsidRPr="006730E3">
        <w:rPr>
          <w:rFonts w:ascii="Calibri" w:hAnsi="Calibri" w:cs="Times New Roman"/>
          <w:iCs/>
          <w:sz w:val="24"/>
          <w:szCs w:val="24"/>
        </w:rPr>
        <w:t xml:space="preserve"> y </w:t>
      </w:r>
      <w:r w:rsidR="00CA2753" w:rsidRPr="006730E3">
        <w:rPr>
          <w:rFonts w:ascii="Calibri" w:hAnsi="Calibri" w:cs="Times New Roman"/>
          <w:iCs/>
          <w:sz w:val="24"/>
          <w:szCs w:val="24"/>
        </w:rPr>
        <w:t>si bien entendemos que la distinción que hace no es correcta</w:t>
      </w:r>
      <w:r w:rsidR="00CA2753" w:rsidRPr="006730E3">
        <w:rPr>
          <w:rStyle w:val="Refdenotaalpie"/>
          <w:rFonts w:ascii="Calibri" w:hAnsi="Calibri" w:cs="Times New Roman"/>
          <w:iCs/>
          <w:sz w:val="24"/>
          <w:szCs w:val="24"/>
        </w:rPr>
        <w:footnoteReference w:id="52"/>
      </w:r>
      <w:r w:rsidR="0008058D" w:rsidRPr="006730E3">
        <w:rPr>
          <w:rFonts w:ascii="Calibri" w:hAnsi="Calibri" w:cs="Times New Roman"/>
          <w:iCs/>
          <w:sz w:val="24"/>
          <w:szCs w:val="24"/>
        </w:rPr>
        <w:t>, entiende el TC</w:t>
      </w:r>
      <w:r w:rsidRPr="006730E3">
        <w:rPr>
          <w:rFonts w:ascii="Calibri" w:hAnsi="Calibri" w:cs="Times New Roman"/>
          <w:iCs/>
          <w:sz w:val="24"/>
          <w:szCs w:val="24"/>
        </w:rPr>
        <w:t xml:space="preserve"> </w:t>
      </w:r>
      <w:r w:rsidR="0008058D" w:rsidRPr="006730E3">
        <w:rPr>
          <w:rFonts w:ascii="Calibri" w:hAnsi="Calibri" w:cs="Times New Roman"/>
          <w:iCs/>
          <w:sz w:val="24"/>
          <w:szCs w:val="24"/>
        </w:rPr>
        <w:t xml:space="preserve">que </w:t>
      </w:r>
      <w:r w:rsidR="00251044" w:rsidRPr="006730E3">
        <w:rPr>
          <w:rFonts w:ascii="Calibri" w:hAnsi="Calibri" w:cs="Times New Roman"/>
          <w:iCs/>
          <w:sz w:val="24"/>
          <w:szCs w:val="24"/>
        </w:rPr>
        <w:t>los</w:t>
      </w:r>
      <w:r w:rsidR="00362201" w:rsidRPr="006730E3">
        <w:rPr>
          <w:rFonts w:ascii="Calibri" w:hAnsi="Calibri" w:cs="Times New Roman"/>
          <w:iCs/>
          <w:sz w:val="24"/>
          <w:szCs w:val="24"/>
        </w:rPr>
        <w:t xml:space="preserve"> derechos de mínimos</w:t>
      </w:r>
      <w:r w:rsidR="0008058D" w:rsidRPr="006730E3">
        <w:rPr>
          <w:rFonts w:ascii="Calibri" w:hAnsi="Calibri" w:cs="Times New Roman"/>
          <w:iCs/>
          <w:sz w:val="24"/>
          <w:szCs w:val="24"/>
        </w:rPr>
        <w:t xml:space="preserve"> de los que habla el art. 5.1 LN</w:t>
      </w:r>
      <w:r w:rsidR="00362201" w:rsidRPr="006730E3">
        <w:rPr>
          <w:rFonts w:ascii="Calibri" w:hAnsi="Calibri" w:cs="Times New Roman"/>
          <w:iCs/>
          <w:sz w:val="24"/>
          <w:szCs w:val="24"/>
        </w:rPr>
        <w:t xml:space="preserve"> </w:t>
      </w:r>
      <w:r w:rsidR="0008058D" w:rsidRPr="006730E3">
        <w:rPr>
          <w:rFonts w:ascii="Calibri" w:hAnsi="Calibri" w:cs="Times New Roman"/>
          <w:iCs/>
          <w:sz w:val="24"/>
          <w:szCs w:val="24"/>
        </w:rPr>
        <w:t xml:space="preserve">son los </w:t>
      </w:r>
      <w:r w:rsidR="00362201" w:rsidRPr="006730E3">
        <w:rPr>
          <w:rFonts w:ascii="Calibri" w:hAnsi="Calibri" w:cs="Times New Roman"/>
          <w:iCs/>
          <w:sz w:val="24"/>
          <w:szCs w:val="24"/>
        </w:rPr>
        <w:t xml:space="preserve">relativos a la </w:t>
      </w:r>
      <w:r w:rsidR="0008058D" w:rsidRPr="006730E3">
        <w:rPr>
          <w:rFonts w:ascii="Calibri" w:hAnsi="Calibri" w:cs="Times New Roman"/>
          <w:iCs/>
          <w:sz w:val="24"/>
          <w:szCs w:val="24"/>
        </w:rPr>
        <w:t>pensión periódica (art. 5.4) y la compensación económica (art. 5.5)</w:t>
      </w:r>
      <w:r w:rsidR="00362201" w:rsidRPr="006730E3">
        <w:rPr>
          <w:rFonts w:ascii="Calibri" w:hAnsi="Calibri" w:cs="Times New Roman"/>
          <w:iCs/>
          <w:sz w:val="24"/>
          <w:szCs w:val="24"/>
        </w:rPr>
        <w:t>,</w:t>
      </w:r>
      <w:r w:rsidR="0008058D" w:rsidRPr="006730E3">
        <w:rPr>
          <w:rFonts w:ascii="Calibri" w:hAnsi="Calibri" w:cs="Times New Roman"/>
          <w:iCs/>
          <w:sz w:val="24"/>
          <w:szCs w:val="24"/>
        </w:rPr>
        <w:t xml:space="preserve"> los cuales</w:t>
      </w:r>
      <w:r w:rsidR="00362201" w:rsidRPr="006730E3">
        <w:rPr>
          <w:rFonts w:ascii="Calibri" w:hAnsi="Calibri" w:cs="Times New Roman"/>
          <w:iCs/>
          <w:sz w:val="24"/>
          <w:szCs w:val="24"/>
        </w:rPr>
        <w:t xml:space="preserve"> «</w:t>
      </w:r>
      <w:r w:rsidR="00362201" w:rsidRPr="006730E3">
        <w:rPr>
          <w:rFonts w:ascii="Calibri" w:hAnsi="Calibri" w:cs="Times New Roman"/>
          <w:sz w:val="24"/>
          <w:szCs w:val="24"/>
        </w:rPr>
        <w:t>se imponen sobre los pactos que puedan alcanzar los integrantes de la unión de hecho y, por tanto, sobre la libre voluntad de éstos, por lo que se produce efectivamente la vulneración de la libertad consagrada en el art. 10.1 al imponerles unos efectos patrimoniales que no han asumido voluntariamente mediante el correspondiente pacto</w:t>
      </w:r>
      <w:r w:rsidR="00362201" w:rsidRPr="006730E3">
        <w:rPr>
          <w:rFonts w:ascii="Calibri" w:hAnsi="Calibri" w:cs="Times New Roman"/>
          <w:iCs/>
          <w:sz w:val="24"/>
          <w:szCs w:val="24"/>
        </w:rPr>
        <w:t>»</w:t>
      </w:r>
      <w:r w:rsidR="00536B4D" w:rsidRPr="006730E3">
        <w:rPr>
          <w:rFonts w:ascii="Calibri" w:hAnsi="Calibri" w:cs="Times New Roman"/>
          <w:iCs/>
          <w:sz w:val="24"/>
          <w:szCs w:val="24"/>
        </w:rPr>
        <w:t>.</w:t>
      </w:r>
      <w:r w:rsidR="00CC5D96" w:rsidRPr="006730E3">
        <w:rPr>
          <w:rFonts w:ascii="Calibri" w:hAnsi="Calibri" w:cs="Times New Roman"/>
          <w:iCs/>
          <w:sz w:val="24"/>
          <w:szCs w:val="24"/>
        </w:rPr>
        <w:t xml:space="preserve"> </w:t>
      </w:r>
    </w:p>
    <w:p w:rsidR="00362201" w:rsidRPr="006730E3" w:rsidRDefault="00362201" w:rsidP="00416B3A">
      <w:pPr>
        <w:spacing w:line="312" w:lineRule="auto"/>
        <w:jc w:val="both"/>
        <w:rPr>
          <w:rFonts w:ascii="Calibri" w:hAnsi="Calibri" w:cs="Times New Roman"/>
          <w:iCs/>
          <w:sz w:val="24"/>
          <w:szCs w:val="24"/>
        </w:rPr>
      </w:pPr>
      <w:r w:rsidRPr="006730E3">
        <w:rPr>
          <w:rFonts w:ascii="Calibri" w:hAnsi="Calibri" w:cs="Times New Roman"/>
          <w:iCs/>
          <w:sz w:val="24"/>
          <w:szCs w:val="24"/>
        </w:rPr>
        <w:t>En segundo lugar, y con relación a la previsión, en defecto de pacto, de una regulación de las relaciones personales y patrimoniales de la pareja pendiente la convivencia</w:t>
      </w:r>
      <w:r w:rsidR="00536B4D" w:rsidRPr="006730E3">
        <w:rPr>
          <w:rFonts w:ascii="Calibri" w:hAnsi="Calibri" w:cs="Times New Roman"/>
          <w:iCs/>
          <w:sz w:val="24"/>
          <w:szCs w:val="24"/>
        </w:rPr>
        <w:t xml:space="preserve">, </w:t>
      </w:r>
      <w:r w:rsidRPr="006730E3">
        <w:rPr>
          <w:rFonts w:ascii="Calibri" w:hAnsi="Calibri" w:cs="Times New Roman"/>
          <w:iCs/>
          <w:sz w:val="24"/>
          <w:szCs w:val="24"/>
        </w:rPr>
        <w:t>«</w:t>
      </w:r>
      <w:r w:rsidRPr="006730E3">
        <w:rPr>
          <w:rFonts w:ascii="Calibri" w:hAnsi="Calibri" w:cs="Times New Roman"/>
          <w:sz w:val="24"/>
          <w:szCs w:val="24"/>
        </w:rPr>
        <w:t xml:space="preserve">a primera vista podría pensarse que la norma resulta respetuosa con la voluntad de los integrantes de la pareja estable, en la medida en que sólo se les aplicaría si no hubieran pactado al respecto. Sin embargo, esta primera apreciación decae si consideramos que, en el caso de que los miembros de la pareja no hubieran pactado nada sobre el particular, resulta imperativa la aplicación de la norma prescindiendo de exigencia alguna de constatación de su voluntad de </w:t>
      </w:r>
      <w:r w:rsidRPr="006730E3">
        <w:rPr>
          <w:rFonts w:ascii="Calibri" w:hAnsi="Calibri" w:cs="Times New Roman"/>
          <w:sz w:val="24"/>
          <w:szCs w:val="24"/>
        </w:rPr>
        <w:lastRenderedPageBreak/>
        <w:t>aceptarla; voluntad que, por tal razón, se ve violentada, con la consiguiente infracción del art. 10.1 CE</w:t>
      </w:r>
      <w:r w:rsidRPr="006730E3">
        <w:rPr>
          <w:rFonts w:ascii="Calibri" w:hAnsi="Calibri" w:cs="Times New Roman"/>
          <w:iCs/>
          <w:sz w:val="24"/>
          <w:szCs w:val="24"/>
        </w:rPr>
        <w:t>»</w:t>
      </w:r>
      <w:r w:rsidR="00536B4D" w:rsidRPr="006730E3">
        <w:rPr>
          <w:rFonts w:ascii="Calibri" w:hAnsi="Calibri" w:cs="Times New Roman"/>
          <w:iCs/>
          <w:sz w:val="24"/>
          <w:szCs w:val="24"/>
        </w:rPr>
        <w:t>.</w:t>
      </w:r>
    </w:p>
    <w:p w:rsidR="00E65707" w:rsidRPr="006730E3" w:rsidRDefault="00362201" w:rsidP="00416B3A">
      <w:pPr>
        <w:spacing w:line="312" w:lineRule="auto"/>
        <w:jc w:val="both"/>
        <w:rPr>
          <w:rFonts w:ascii="Calibri" w:hAnsi="Calibri" w:cs="Times New Roman"/>
          <w:iCs/>
          <w:sz w:val="24"/>
          <w:szCs w:val="24"/>
        </w:rPr>
      </w:pPr>
      <w:r w:rsidRPr="006730E3">
        <w:rPr>
          <w:rFonts w:ascii="Calibri" w:hAnsi="Calibri" w:cs="Times New Roman"/>
          <w:iCs/>
          <w:sz w:val="24"/>
          <w:szCs w:val="24"/>
        </w:rPr>
        <w:t xml:space="preserve">Finalmente, y con relación a la responsabilidad </w:t>
      </w:r>
      <w:r w:rsidR="00536B4D" w:rsidRPr="006730E3">
        <w:rPr>
          <w:rFonts w:ascii="Calibri" w:hAnsi="Calibri" w:cs="Times New Roman"/>
          <w:iCs/>
          <w:sz w:val="24"/>
          <w:szCs w:val="24"/>
        </w:rPr>
        <w:t xml:space="preserve">solidaria que sancionaba la LN, </w:t>
      </w:r>
      <w:r w:rsidRPr="006730E3">
        <w:rPr>
          <w:rFonts w:ascii="Calibri" w:hAnsi="Calibri" w:cs="Times New Roman"/>
          <w:iCs/>
          <w:sz w:val="24"/>
          <w:szCs w:val="24"/>
        </w:rPr>
        <w:t>«</w:t>
      </w:r>
      <w:r w:rsidRPr="006730E3">
        <w:rPr>
          <w:rFonts w:ascii="Calibri" w:hAnsi="Calibri" w:cs="Times New Roman"/>
          <w:sz w:val="24"/>
          <w:szCs w:val="24"/>
        </w:rPr>
        <w:t>aunque pudiera considerarse como una consecuencia necesaria de la convivencia libre y voluntariamente asumida, evitando que la misma pudiera producir perjuicios a terceros, lo cierto es que merece igualmente la declaración de inconstitucionalidad, ya que se impone de manera absoluta a los integrantes de la pareja, sin permitirles siquiera el establecimiento voluntario de un régimen distinto, por lo que vulnera el art. 10.1 CE</w:t>
      </w:r>
      <w:r w:rsidRPr="006730E3">
        <w:rPr>
          <w:rFonts w:ascii="Calibri" w:hAnsi="Calibri" w:cs="Times New Roman"/>
          <w:iCs/>
          <w:sz w:val="24"/>
          <w:szCs w:val="24"/>
        </w:rPr>
        <w:t>»</w:t>
      </w:r>
      <w:r w:rsidR="00B62BFD" w:rsidRPr="006730E3">
        <w:rPr>
          <w:rStyle w:val="Refdenotaalpie"/>
          <w:rFonts w:ascii="Calibri" w:hAnsi="Calibri" w:cs="Times New Roman"/>
          <w:iCs/>
          <w:sz w:val="24"/>
          <w:szCs w:val="24"/>
        </w:rPr>
        <w:footnoteReference w:id="53"/>
      </w:r>
      <w:r w:rsidR="00B62BFD" w:rsidRPr="006730E3">
        <w:rPr>
          <w:rFonts w:ascii="Calibri" w:hAnsi="Calibri" w:cs="Times New Roman"/>
          <w:iCs/>
          <w:sz w:val="24"/>
          <w:szCs w:val="24"/>
        </w:rPr>
        <w:t>.</w:t>
      </w:r>
    </w:p>
    <w:p w:rsidR="00034E0D" w:rsidRPr="006730E3" w:rsidRDefault="00E6570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Extrapolando estas consideraciones a la LDCG, deberíamos examinar si el legislador gallego, tal y como exige el Alto Tribunal, requiere un consentimiento </w:t>
      </w:r>
      <w:r w:rsidRPr="006730E3">
        <w:rPr>
          <w:rFonts w:ascii="Calibri" w:hAnsi="Calibri" w:cs="Times New Roman"/>
          <w:i/>
          <w:sz w:val="24"/>
          <w:szCs w:val="24"/>
        </w:rPr>
        <w:t>ad hoc</w:t>
      </w:r>
      <w:r w:rsidRPr="006730E3">
        <w:rPr>
          <w:rFonts w:ascii="Calibri" w:hAnsi="Calibri" w:cs="Times New Roman"/>
          <w:sz w:val="24"/>
          <w:szCs w:val="24"/>
        </w:rPr>
        <w:t xml:space="preserve"> que se podría catalogar de espontáneo, manifiesto, patente u ostensible para el sometimiento de la pareja a las consecuencias previstas por la ley; en definitiva, un consentimiento cualificado y formalmente declarado que exige su efectiva expresión y, por lo tanto, descarta las asunciones genéricas y la voluntad tácita. En opinión de algunos, </w:t>
      </w:r>
      <w:r w:rsidR="00536B4D" w:rsidRPr="006730E3">
        <w:rPr>
          <w:rFonts w:ascii="Calibri" w:hAnsi="Calibri" w:cs="Times New Roman"/>
          <w:iCs/>
          <w:sz w:val="24"/>
          <w:szCs w:val="24"/>
        </w:rPr>
        <w:t xml:space="preserve">cabría </w:t>
      </w:r>
      <w:r w:rsidRPr="006730E3">
        <w:rPr>
          <w:rFonts w:ascii="Calibri" w:hAnsi="Calibri" w:cs="Times New Roman"/>
          <w:iCs/>
          <w:sz w:val="24"/>
          <w:szCs w:val="24"/>
        </w:rPr>
        <w:t xml:space="preserve">entender que la DAT se ajusta a la doctrina del TC dado que su aplicación </w:t>
      </w:r>
      <w:r w:rsidR="00347061" w:rsidRPr="006730E3">
        <w:rPr>
          <w:rFonts w:ascii="Calibri" w:hAnsi="Calibri" w:cs="Times New Roman"/>
          <w:sz w:val="24"/>
          <w:szCs w:val="24"/>
        </w:rPr>
        <w:t xml:space="preserve">dependen no sólo de la inscripción en el RPHG de la pareja, sino </w:t>
      </w:r>
      <w:r w:rsidR="003C758C" w:rsidRPr="006730E3">
        <w:rPr>
          <w:rFonts w:ascii="Calibri" w:hAnsi="Calibri" w:cs="Times New Roman"/>
          <w:sz w:val="24"/>
          <w:szCs w:val="24"/>
        </w:rPr>
        <w:t xml:space="preserve">también </w:t>
      </w:r>
      <w:r w:rsidR="00574175" w:rsidRPr="006730E3">
        <w:rPr>
          <w:rFonts w:ascii="Calibri" w:hAnsi="Calibri" w:cs="Times New Roman"/>
          <w:sz w:val="24"/>
          <w:szCs w:val="24"/>
        </w:rPr>
        <w:t xml:space="preserve">de </w:t>
      </w:r>
      <w:r w:rsidR="00347061" w:rsidRPr="006730E3">
        <w:rPr>
          <w:rFonts w:ascii="Calibri" w:hAnsi="Calibri" w:cs="Times New Roman"/>
          <w:sz w:val="24"/>
          <w:szCs w:val="24"/>
        </w:rPr>
        <w:t>la manifestación de los convivientes de su voluntad de equiparar los efectos de su relación a los del matrimonio</w:t>
      </w:r>
      <w:r w:rsidR="00E621FA" w:rsidRPr="006730E3">
        <w:rPr>
          <w:rFonts w:ascii="Calibri" w:hAnsi="Calibri" w:cs="Times New Roman"/>
          <w:sz w:val="24"/>
          <w:szCs w:val="24"/>
        </w:rPr>
        <w:t>, lo cual denotaría esa asunción voluntaria que reclama el TC</w:t>
      </w:r>
      <w:r w:rsidR="00034E0D" w:rsidRPr="006730E3">
        <w:rPr>
          <w:rStyle w:val="Refdenotaalpie"/>
          <w:rFonts w:ascii="Calibri" w:hAnsi="Calibri" w:cs="Times New Roman"/>
          <w:sz w:val="24"/>
          <w:szCs w:val="24"/>
        </w:rPr>
        <w:footnoteReference w:id="54"/>
      </w:r>
      <w:r w:rsidR="00034E0D" w:rsidRPr="006730E3">
        <w:rPr>
          <w:rFonts w:ascii="Calibri" w:hAnsi="Calibri" w:cs="Times New Roman"/>
          <w:sz w:val="24"/>
          <w:szCs w:val="24"/>
        </w:rPr>
        <w:t>.</w:t>
      </w:r>
      <w:r w:rsidRPr="006730E3">
        <w:rPr>
          <w:rFonts w:ascii="Calibri" w:hAnsi="Calibri" w:cs="Times New Roman"/>
          <w:sz w:val="24"/>
          <w:szCs w:val="24"/>
        </w:rPr>
        <w:t xml:space="preserve"> Sin embargo, entendemos que estas apreciaciones no casan por completo con dicha doctrina.</w:t>
      </w:r>
    </w:p>
    <w:p w:rsidR="00C5224B" w:rsidRPr="006730E3" w:rsidRDefault="00E6570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Nosotros hablamos de un consentimiento cualificado porque el TC </w:t>
      </w:r>
      <w:r w:rsidR="00C5224B" w:rsidRPr="006730E3">
        <w:rPr>
          <w:rFonts w:ascii="Calibri" w:hAnsi="Calibri" w:cs="Times New Roman"/>
          <w:sz w:val="24"/>
          <w:szCs w:val="24"/>
        </w:rPr>
        <w:t>requiere</w:t>
      </w:r>
      <w:r w:rsidR="00C46350" w:rsidRPr="006730E3">
        <w:rPr>
          <w:rFonts w:ascii="Calibri" w:hAnsi="Calibri" w:cs="Times New Roman"/>
          <w:sz w:val="24"/>
          <w:szCs w:val="24"/>
        </w:rPr>
        <w:t xml:space="preserve"> que cada una de las </w:t>
      </w:r>
      <w:r w:rsidR="00A04EB6" w:rsidRPr="006730E3">
        <w:rPr>
          <w:rFonts w:ascii="Calibri" w:hAnsi="Calibri" w:cs="Times New Roman"/>
          <w:sz w:val="24"/>
          <w:szCs w:val="24"/>
        </w:rPr>
        <w:t>normas</w:t>
      </w:r>
      <w:r w:rsidR="00C46350" w:rsidRPr="006730E3">
        <w:rPr>
          <w:rFonts w:ascii="Calibri" w:hAnsi="Calibri" w:cs="Times New Roman"/>
          <w:sz w:val="24"/>
          <w:szCs w:val="24"/>
        </w:rPr>
        <w:t xml:space="preserve"> que una eventual ley dedique a los efectos civiles de la pareja </w:t>
      </w:r>
      <w:r w:rsidR="00C5224B" w:rsidRPr="006730E3">
        <w:rPr>
          <w:rFonts w:ascii="Calibri" w:hAnsi="Calibri" w:cs="Times New Roman"/>
          <w:sz w:val="24"/>
          <w:szCs w:val="24"/>
        </w:rPr>
        <w:t xml:space="preserve">se </w:t>
      </w:r>
      <w:proofErr w:type="gramStart"/>
      <w:r w:rsidR="00C5224B" w:rsidRPr="006730E3">
        <w:rPr>
          <w:rFonts w:ascii="Calibri" w:hAnsi="Calibri" w:cs="Times New Roman"/>
          <w:sz w:val="24"/>
          <w:szCs w:val="24"/>
        </w:rPr>
        <w:t>asuma</w:t>
      </w:r>
      <w:r w:rsidR="00224055" w:rsidRPr="006730E3">
        <w:rPr>
          <w:rFonts w:ascii="Calibri" w:hAnsi="Calibri" w:cs="Times New Roman"/>
          <w:sz w:val="24"/>
          <w:szCs w:val="24"/>
        </w:rPr>
        <w:t>n</w:t>
      </w:r>
      <w:proofErr w:type="gramEnd"/>
      <w:r w:rsidR="00C46350" w:rsidRPr="006730E3">
        <w:rPr>
          <w:rFonts w:ascii="Calibri" w:hAnsi="Calibri" w:cs="Times New Roman"/>
          <w:sz w:val="24"/>
          <w:szCs w:val="24"/>
        </w:rPr>
        <w:t xml:space="preserve"> individualmente, es decir, una regulación </w:t>
      </w:r>
      <w:r w:rsidR="00A04EB6" w:rsidRPr="006730E3">
        <w:rPr>
          <w:rFonts w:ascii="Calibri" w:hAnsi="Calibri" w:cs="Times New Roman"/>
          <w:sz w:val="24"/>
          <w:szCs w:val="24"/>
        </w:rPr>
        <w:t xml:space="preserve">a la carta o, en palabras de </w:t>
      </w:r>
      <w:r w:rsidR="00626C45">
        <w:rPr>
          <w:rFonts w:ascii="Calibri" w:hAnsi="Calibri" w:cs="Times New Roman"/>
          <w:sz w:val="24"/>
          <w:szCs w:val="24"/>
        </w:rPr>
        <w:t>Martín</w:t>
      </w:r>
      <w:r w:rsidR="00A04EB6" w:rsidRPr="00626C45">
        <w:rPr>
          <w:rFonts w:ascii="Calibri" w:hAnsi="Calibri" w:cs="Times New Roman"/>
          <w:sz w:val="24"/>
          <w:szCs w:val="24"/>
        </w:rPr>
        <w:t xml:space="preserve"> </w:t>
      </w:r>
      <w:proofErr w:type="spellStart"/>
      <w:r w:rsidR="00A04EB6" w:rsidRPr="00626C45">
        <w:rPr>
          <w:rFonts w:ascii="Calibri" w:hAnsi="Calibri" w:cs="Times New Roman"/>
          <w:sz w:val="24"/>
          <w:szCs w:val="24"/>
        </w:rPr>
        <w:t>Casals</w:t>
      </w:r>
      <w:proofErr w:type="spellEnd"/>
      <w:r w:rsidR="00A04EB6" w:rsidRPr="006730E3">
        <w:rPr>
          <w:rFonts w:ascii="Calibri" w:hAnsi="Calibri" w:cs="Times New Roman"/>
          <w:sz w:val="24"/>
          <w:szCs w:val="24"/>
        </w:rPr>
        <w:t xml:space="preserve">, un sistema </w:t>
      </w:r>
      <w:r w:rsidR="00A04EB6" w:rsidRPr="006730E3">
        <w:rPr>
          <w:rFonts w:ascii="Calibri" w:hAnsi="Calibri" w:cs="Times New Roman"/>
          <w:i/>
          <w:sz w:val="24"/>
          <w:szCs w:val="24"/>
        </w:rPr>
        <w:t xml:space="preserve">single </w:t>
      </w:r>
      <w:proofErr w:type="spellStart"/>
      <w:r w:rsidR="00A04EB6" w:rsidRPr="006730E3">
        <w:rPr>
          <w:rFonts w:ascii="Calibri" w:hAnsi="Calibri" w:cs="Times New Roman"/>
          <w:i/>
          <w:sz w:val="24"/>
          <w:szCs w:val="24"/>
        </w:rPr>
        <w:t>opt</w:t>
      </w:r>
      <w:proofErr w:type="spellEnd"/>
      <w:r w:rsidR="00A04EB6" w:rsidRPr="006730E3">
        <w:rPr>
          <w:rFonts w:ascii="Calibri" w:hAnsi="Calibri" w:cs="Times New Roman"/>
          <w:i/>
          <w:sz w:val="24"/>
          <w:szCs w:val="24"/>
        </w:rPr>
        <w:t>-in</w:t>
      </w:r>
      <w:r w:rsidR="00224055" w:rsidRPr="006730E3">
        <w:rPr>
          <w:rFonts w:ascii="Calibri" w:hAnsi="Calibri" w:cs="Times New Roman"/>
          <w:sz w:val="24"/>
          <w:szCs w:val="24"/>
        </w:rPr>
        <w:t xml:space="preserve"> que no tiene paragón en el Derecho comparado</w:t>
      </w:r>
      <w:r w:rsidR="00A04EB6" w:rsidRPr="006730E3">
        <w:rPr>
          <w:rStyle w:val="Refdenotaalpie"/>
          <w:rFonts w:ascii="Calibri" w:hAnsi="Calibri" w:cs="Times New Roman"/>
          <w:sz w:val="24"/>
          <w:szCs w:val="24"/>
        </w:rPr>
        <w:footnoteReference w:id="55"/>
      </w:r>
      <w:r w:rsidR="00A04EB6" w:rsidRPr="006730E3">
        <w:rPr>
          <w:rFonts w:ascii="Calibri" w:hAnsi="Calibri" w:cs="Times New Roman"/>
          <w:sz w:val="24"/>
          <w:szCs w:val="24"/>
        </w:rPr>
        <w:t>.</w:t>
      </w:r>
      <w:r w:rsidR="004D7A6A" w:rsidRPr="006730E3">
        <w:rPr>
          <w:rFonts w:ascii="Calibri" w:hAnsi="Calibri" w:cs="Times New Roman"/>
          <w:sz w:val="24"/>
          <w:szCs w:val="24"/>
        </w:rPr>
        <w:t xml:space="preserve"> </w:t>
      </w:r>
    </w:p>
    <w:p w:rsidR="00C5224B" w:rsidRPr="006730E3" w:rsidRDefault="00E65707" w:rsidP="00416B3A">
      <w:pPr>
        <w:spacing w:line="312" w:lineRule="auto"/>
        <w:jc w:val="both"/>
        <w:rPr>
          <w:rFonts w:ascii="Calibri" w:hAnsi="Calibri" w:cs="Times New Roman"/>
          <w:sz w:val="24"/>
          <w:szCs w:val="24"/>
        </w:rPr>
      </w:pPr>
      <w:r w:rsidRPr="006730E3">
        <w:rPr>
          <w:rFonts w:ascii="Calibri" w:hAnsi="Calibri" w:cs="Times New Roman"/>
          <w:sz w:val="24"/>
          <w:szCs w:val="24"/>
        </w:rPr>
        <w:t>Por ello, no sólo se limita a considerar</w:t>
      </w:r>
      <w:r w:rsidR="00CC6615" w:rsidRPr="006730E3">
        <w:rPr>
          <w:rFonts w:ascii="Calibri" w:hAnsi="Calibri" w:cs="Times New Roman"/>
          <w:sz w:val="24"/>
          <w:szCs w:val="24"/>
        </w:rPr>
        <w:t xml:space="preserve"> irrespetuosos </w:t>
      </w:r>
      <w:r w:rsidR="00BA6187" w:rsidRPr="006730E3">
        <w:rPr>
          <w:rFonts w:ascii="Calibri" w:hAnsi="Calibri" w:cs="Times New Roman"/>
          <w:sz w:val="24"/>
          <w:szCs w:val="24"/>
        </w:rPr>
        <w:t>con el art.10.1</w:t>
      </w:r>
      <w:r w:rsidR="00CC6615" w:rsidRPr="006730E3">
        <w:rPr>
          <w:rFonts w:ascii="Calibri" w:hAnsi="Calibri" w:cs="Times New Roman"/>
          <w:sz w:val="24"/>
          <w:szCs w:val="24"/>
        </w:rPr>
        <w:t xml:space="preserve"> CE y la autonomía de la voluntad de los miembros de la pareja los </w:t>
      </w:r>
      <w:r w:rsidRPr="006730E3">
        <w:rPr>
          <w:rFonts w:ascii="Calibri" w:hAnsi="Calibri" w:cs="Times New Roman"/>
          <w:sz w:val="24"/>
          <w:szCs w:val="24"/>
        </w:rPr>
        <w:t>modelos de regulación factuales</w:t>
      </w:r>
      <w:r w:rsidR="00942963" w:rsidRPr="006730E3">
        <w:rPr>
          <w:rFonts w:ascii="Calibri" w:hAnsi="Calibri" w:cs="Times New Roman"/>
          <w:sz w:val="24"/>
          <w:szCs w:val="24"/>
        </w:rPr>
        <w:t xml:space="preserve"> basados en la convivencia o la descendencia común de la pareja. </w:t>
      </w:r>
      <w:r w:rsidR="00CC6615" w:rsidRPr="006730E3">
        <w:rPr>
          <w:rFonts w:ascii="Calibri" w:hAnsi="Calibri" w:cs="Times New Roman"/>
          <w:sz w:val="24"/>
          <w:szCs w:val="24"/>
        </w:rPr>
        <w:t xml:space="preserve">Si ello fuese así, el TC, una vez declarados inconstitucionales </w:t>
      </w:r>
      <w:r w:rsidR="00942963" w:rsidRPr="006730E3">
        <w:rPr>
          <w:rFonts w:ascii="Calibri" w:hAnsi="Calibri" w:cs="Times New Roman"/>
          <w:sz w:val="24"/>
          <w:szCs w:val="24"/>
        </w:rPr>
        <w:t>los mismos</w:t>
      </w:r>
      <w:r w:rsidR="00CC6615" w:rsidRPr="006730E3">
        <w:rPr>
          <w:rFonts w:ascii="Calibri" w:hAnsi="Calibri" w:cs="Times New Roman"/>
          <w:sz w:val="24"/>
          <w:szCs w:val="24"/>
        </w:rPr>
        <w:t xml:space="preserve">, no habría procedido a declarar la inconstitucionalidad de todos los artículos regladores de los efectos civiles de la convivencia, los cuales resultarían únicamente aplicables </w:t>
      </w:r>
      <w:r w:rsidR="00C5224B" w:rsidRPr="006730E3">
        <w:rPr>
          <w:rFonts w:ascii="Calibri" w:hAnsi="Calibri" w:cs="Times New Roman"/>
          <w:sz w:val="24"/>
          <w:szCs w:val="24"/>
        </w:rPr>
        <w:t>en el</w:t>
      </w:r>
      <w:r w:rsidR="00CC6615" w:rsidRPr="006730E3">
        <w:rPr>
          <w:rFonts w:ascii="Calibri" w:hAnsi="Calibri" w:cs="Times New Roman"/>
          <w:sz w:val="24"/>
          <w:szCs w:val="24"/>
        </w:rPr>
        <w:t xml:space="preserve"> modelo formal, esto es, </w:t>
      </w:r>
      <w:r w:rsidR="00C5224B" w:rsidRPr="006730E3">
        <w:rPr>
          <w:rFonts w:ascii="Calibri" w:hAnsi="Calibri" w:cs="Times New Roman"/>
          <w:sz w:val="24"/>
          <w:szCs w:val="24"/>
        </w:rPr>
        <w:t>en el</w:t>
      </w:r>
      <w:r w:rsidR="00CC6615" w:rsidRPr="006730E3">
        <w:rPr>
          <w:rFonts w:ascii="Calibri" w:hAnsi="Calibri" w:cs="Times New Roman"/>
          <w:sz w:val="24"/>
          <w:szCs w:val="24"/>
        </w:rPr>
        <w:t xml:space="preserve"> supuesto en que la pareja, </w:t>
      </w:r>
      <w:r w:rsidR="00CC6615" w:rsidRPr="006730E3">
        <w:rPr>
          <w:rFonts w:ascii="Calibri" w:hAnsi="Calibri" w:cs="Times New Roman"/>
          <w:sz w:val="24"/>
          <w:szCs w:val="24"/>
        </w:rPr>
        <w:lastRenderedPageBreak/>
        <w:t>conocedora en mayor o menor medida de la</w:t>
      </w:r>
      <w:r w:rsidR="00BA4B5A" w:rsidRPr="006730E3">
        <w:rPr>
          <w:rFonts w:ascii="Calibri" w:hAnsi="Calibri" w:cs="Times New Roman"/>
          <w:sz w:val="24"/>
          <w:szCs w:val="24"/>
        </w:rPr>
        <w:t>s previsiones legales, pretende</w:t>
      </w:r>
      <w:r w:rsidR="00CC6615" w:rsidRPr="006730E3">
        <w:rPr>
          <w:rFonts w:ascii="Calibri" w:hAnsi="Calibri" w:cs="Times New Roman"/>
          <w:sz w:val="24"/>
          <w:szCs w:val="24"/>
        </w:rPr>
        <w:t xml:space="preserve"> su aplicación declarando la constitución de su convivencia en documento público</w:t>
      </w:r>
      <w:r w:rsidR="00C5224B" w:rsidRPr="006730E3">
        <w:rPr>
          <w:rStyle w:val="Refdenotaalpie"/>
          <w:rFonts w:ascii="Calibri" w:hAnsi="Calibri" w:cs="Times New Roman"/>
          <w:sz w:val="24"/>
          <w:szCs w:val="24"/>
        </w:rPr>
        <w:footnoteReference w:id="56"/>
      </w:r>
      <w:r w:rsidR="00CC6615" w:rsidRPr="006730E3">
        <w:rPr>
          <w:rFonts w:ascii="Calibri" w:hAnsi="Calibri" w:cs="Times New Roman"/>
          <w:sz w:val="24"/>
          <w:szCs w:val="24"/>
        </w:rPr>
        <w:t>.</w:t>
      </w:r>
      <w:r w:rsidR="00C5224B" w:rsidRPr="006730E3">
        <w:rPr>
          <w:rFonts w:ascii="Calibri" w:hAnsi="Calibri" w:cs="Times New Roman"/>
          <w:sz w:val="24"/>
          <w:szCs w:val="24"/>
        </w:rPr>
        <w:t xml:space="preserve"> </w:t>
      </w:r>
    </w:p>
    <w:p w:rsidR="00942963" w:rsidRPr="006730E3" w:rsidRDefault="00C5224B"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El Alto Tribunal va más allá y considera inconstitucionales los modelos </w:t>
      </w:r>
      <w:proofErr w:type="spellStart"/>
      <w:r w:rsidR="00220544" w:rsidRPr="006730E3">
        <w:rPr>
          <w:rFonts w:ascii="Calibri" w:hAnsi="Calibri" w:cs="Times New Roman"/>
          <w:i/>
          <w:sz w:val="24"/>
          <w:szCs w:val="24"/>
        </w:rPr>
        <w:t>opt</w:t>
      </w:r>
      <w:proofErr w:type="spellEnd"/>
      <w:r w:rsidR="00220544" w:rsidRPr="006730E3">
        <w:rPr>
          <w:rFonts w:ascii="Calibri" w:hAnsi="Calibri" w:cs="Times New Roman"/>
          <w:i/>
          <w:sz w:val="24"/>
          <w:szCs w:val="24"/>
        </w:rPr>
        <w:t>-in</w:t>
      </w:r>
      <w:r w:rsidR="00220544" w:rsidRPr="006730E3">
        <w:rPr>
          <w:rFonts w:ascii="Calibri" w:hAnsi="Calibri" w:cs="Times New Roman"/>
          <w:sz w:val="24"/>
          <w:szCs w:val="24"/>
        </w:rPr>
        <w:t>,</w:t>
      </w:r>
      <w:r w:rsidR="000740E2" w:rsidRPr="006730E3">
        <w:rPr>
          <w:rFonts w:ascii="Calibri" w:hAnsi="Calibri" w:cs="Times New Roman"/>
          <w:sz w:val="24"/>
          <w:szCs w:val="24"/>
        </w:rPr>
        <w:t xml:space="preserve"> donde se encuadraría la DAT,</w:t>
      </w:r>
      <w:r w:rsidR="00220544" w:rsidRPr="006730E3">
        <w:rPr>
          <w:rFonts w:ascii="Calibri" w:hAnsi="Calibri" w:cs="Times New Roman"/>
          <w:sz w:val="24"/>
          <w:szCs w:val="24"/>
        </w:rPr>
        <w:t xml:space="preserve"> en los que la regulación de la cohabitación sólo se aplica</w:t>
      </w:r>
      <w:r w:rsidR="00136947" w:rsidRPr="006730E3">
        <w:rPr>
          <w:rFonts w:ascii="Calibri" w:hAnsi="Calibri" w:cs="Times New Roman"/>
          <w:sz w:val="24"/>
          <w:szCs w:val="24"/>
        </w:rPr>
        <w:t xml:space="preserve"> a aquellas parejas que realizan</w:t>
      </w:r>
      <w:r w:rsidR="00220544" w:rsidRPr="006730E3">
        <w:rPr>
          <w:rFonts w:ascii="Calibri" w:hAnsi="Calibri" w:cs="Times New Roman"/>
          <w:sz w:val="24"/>
          <w:szCs w:val="24"/>
        </w:rPr>
        <w:t xml:space="preserve"> un acto forma</w:t>
      </w:r>
      <w:r w:rsidRPr="006730E3">
        <w:rPr>
          <w:rFonts w:ascii="Calibri" w:hAnsi="Calibri" w:cs="Times New Roman"/>
          <w:sz w:val="24"/>
          <w:szCs w:val="24"/>
        </w:rPr>
        <w:t>l</w:t>
      </w:r>
      <w:r w:rsidR="00220544" w:rsidRPr="006730E3">
        <w:rPr>
          <w:rFonts w:ascii="Calibri" w:hAnsi="Calibri" w:cs="Times New Roman"/>
          <w:sz w:val="24"/>
          <w:szCs w:val="24"/>
        </w:rPr>
        <w:t xml:space="preserve"> d</w:t>
      </w:r>
      <w:r w:rsidRPr="006730E3">
        <w:rPr>
          <w:rFonts w:ascii="Calibri" w:hAnsi="Calibri" w:cs="Times New Roman"/>
          <w:sz w:val="24"/>
          <w:szCs w:val="24"/>
        </w:rPr>
        <w:t>e sometimiento a dicho régimen</w:t>
      </w:r>
      <w:r w:rsidR="00545AE7" w:rsidRPr="006730E3">
        <w:rPr>
          <w:rFonts w:ascii="Calibri" w:hAnsi="Calibri" w:cs="Times New Roman"/>
          <w:sz w:val="24"/>
          <w:szCs w:val="24"/>
        </w:rPr>
        <w:t xml:space="preserve"> en general</w:t>
      </w:r>
      <w:r w:rsidR="009D4624" w:rsidRPr="006730E3">
        <w:rPr>
          <w:rStyle w:val="Refdenotaalpie"/>
          <w:rFonts w:ascii="Calibri" w:hAnsi="Calibri" w:cs="Times New Roman"/>
          <w:sz w:val="24"/>
          <w:szCs w:val="24"/>
        </w:rPr>
        <w:footnoteReference w:id="57"/>
      </w:r>
      <w:r w:rsidR="004D7A6A" w:rsidRPr="006730E3">
        <w:rPr>
          <w:rFonts w:ascii="Calibri" w:hAnsi="Calibri" w:cs="Times New Roman"/>
          <w:sz w:val="24"/>
          <w:szCs w:val="24"/>
        </w:rPr>
        <w:t xml:space="preserve">. </w:t>
      </w:r>
      <w:r w:rsidR="00942963" w:rsidRPr="006730E3">
        <w:rPr>
          <w:rFonts w:ascii="Calibri" w:hAnsi="Calibri" w:cs="Times New Roman"/>
          <w:sz w:val="24"/>
          <w:szCs w:val="24"/>
        </w:rPr>
        <w:t>Por ello afirmamos</w:t>
      </w:r>
      <w:r w:rsidR="009D4624" w:rsidRPr="006730E3">
        <w:rPr>
          <w:rFonts w:ascii="Calibri" w:hAnsi="Calibri" w:cs="Times New Roman"/>
          <w:sz w:val="24"/>
          <w:szCs w:val="24"/>
        </w:rPr>
        <w:t xml:space="preserve"> que la regulación de la DAT no </w:t>
      </w:r>
      <w:r w:rsidR="003509E8" w:rsidRPr="006730E3">
        <w:rPr>
          <w:rFonts w:ascii="Calibri" w:hAnsi="Calibri" w:cs="Times New Roman"/>
          <w:sz w:val="24"/>
          <w:szCs w:val="24"/>
        </w:rPr>
        <w:t xml:space="preserve">cumple los </w:t>
      </w:r>
      <w:r w:rsidRPr="006730E3">
        <w:rPr>
          <w:rFonts w:ascii="Calibri" w:hAnsi="Calibri" w:cs="Times New Roman"/>
          <w:sz w:val="24"/>
          <w:szCs w:val="24"/>
        </w:rPr>
        <w:t xml:space="preserve">exigentes </w:t>
      </w:r>
      <w:r w:rsidR="004D7A6A" w:rsidRPr="006730E3">
        <w:rPr>
          <w:rFonts w:ascii="Calibri" w:hAnsi="Calibri" w:cs="Times New Roman"/>
          <w:sz w:val="24"/>
          <w:szCs w:val="24"/>
        </w:rPr>
        <w:t>estándares marca</w:t>
      </w:r>
      <w:r w:rsidR="00034E0D" w:rsidRPr="006730E3">
        <w:rPr>
          <w:rFonts w:ascii="Calibri" w:hAnsi="Calibri" w:cs="Times New Roman"/>
          <w:sz w:val="24"/>
          <w:szCs w:val="24"/>
        </w:rPr>
        <w:t>dos por el TC</w:t>
      </w:r>
      <w:r w:rsidR="00942963" w:rsidRPr="006730E3">
        <w:rPr>
          <w:rFonts w:ascii="Calibri" w:hAnsi="Calibri" w:cs="Times New Roman"/>
          <w:sz w:val="24"/>
          <w:szCs w:val="24"/>
        </w:rPr>
        <w:t xml:space="preserve"> en el examen de</w:t>
      </w:r>
      <w:r w:rsidR="00953ED8" w:rsidRPr="006730E3">
        <w:rPr>
          <w:rFonts w:ascii="Calibri" w:hAnsi="Calibri" w:cs="Times New Roman"/>
          <w:sz w:val="24"/>
          <w:szCs w:val="24"/>
        </w:rPr>
        <w:t xml:space="preserve"> la constitucionalidad de la LN</w:t>
      </w:r>
      <w:r w:rsidR="00C5314D" w:rsidRPr="006730E3">
        <w:rPr>
          <w:rFonts w:ascii="Calibri" w:hAnsi="Calibri" w:cs="Times New Roman"/>
          <w:sz w:val="24"/>
          <w:szCs w:val="24"/>
        </w:rPr>
        <w:t xml:space="preserve"> pues el cumplimiento de los requisitos de la DAT supone que a la pareja se le aplique en su conjunto todas las previsiones referidas a los cónyuges. Desde </w:t>
      </w:r>
      <w:r w:rsidR="00290D8D" w:rsidRPr="006730E3">
        <w:rPr>
          <w:rFonts w:ascii="Calibri" w:hAnsi="Calibri" w:cs="Times New Roman"/>
          <w:sz w:val="24"/>
          <w:szCs w:val="24"/>
        </w:rPr>
        <w:t>esta</w:t>
      </w:r>
      <w:r w:rsidR="00C5314D" w:rsidRPr="006730E3">
        <w:rPr>
          <w:rFonts w:ascii="Calibri" w:hAnsi="Calibri" w:cs="Times New Roman"/>
          <w:sz w:val="24"/>
          <w:szCs w:val="24"/>
        </w:rPr>
        <w:t xml:space="preserve"> perspectiva del TC, </w:t>
      </w:r>
      <w:r w:rsidR="007D6E1C" w:rsidRPr="006730E3">
        <w:rPr>
          <w:rFonts w:ascii="Calibri" w:hAnsi="Calibri" w:cs="Times New Roman"/>
          <w:sz w:val="24"/>
          <w:szCs w:val="24"/>
        </w:rPr>
        <w:t>el sistema gallego debería proveer de un mecanismo de elección individual de las distintas normas susceptibles de aplicar a la pareja y, al no hacerlo, entendemos que correría</w:t>
      </w:r>
      <w:r w:rsidR="00C5314D" w:rsidRPr="006730E3">
        <w:rPr>
          <w:rFonts w:ascii="Calibri" w:hAnsi="Calibri" w:cs="Times New Roman"/>
          <w:sz w:val="24"/>
          <w:szCs w:val="24"/>
        </w:rPr>
        <w:t xml:space="preserve"> </w:t>
      </w:r>
      <w:r w:rsidR="007D6E1C" w:rsidRPr="006730E3">
        <w:rPr>
          <w:rFonts w:ascii="Calibri" w:hAnsi="Calibri" w:cs="Times New Roman"/>
          <w:sz w:val="24"/>
          <w:szCs w:val="24"/>
        </w:rPr>
        <w:t>la misma suerte que la LN.</w:t>
      </w:r>
    </w:p>
    <w:p w:rsidR="00942963" w:rsidRPr="006730E3" w:rsidRDefault="00942963"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Sin embargo, esta afirmación no implica que demos por válidos los argumentos del TC. Su decisión </w:t>
      </w:r>
      <w:r w:rsidR="000E2C8E" w:rsidRPr="006730E3">
        <w:rPr>
          <w:rFonts w:ascii="Calibri" w:hAnsi="Calibri" w:cs="Times New Roman"/>
          <w:sz w:val="24"/>
          <w:szCs w:val="24"/>
        </w:rPr>
        <w:t>se</w:t>
      </w:r>
      <w:r w:rsidR="00631E2A" w:rsidRPr="006730E3">
        <w:rPr>
          <w:rFonts w:ascii="Calibri" w:hAnsi="Calibri" w:cs="Times New Roman"/>
          <w:sz w:val="24"/>
          <w:szCs w:val="24"/>
        </w:rPr>
        <w:t xml:space="preserve"> articula sobre</w:t>
      </w:r>
      <w:r w:rsidR="000E2C8E" w:rsidRPr="006730E3">
        <w:rPr>
          <w:rFonts w:ascii="Calibri" w:hAnsi="Calibri" w:cs="Times New Roman"/>
          <w:sz w:val="24"/>
          <w:szCs w:val="24"/>
        </w:rPr>
        <w:t xml:space="preserve"> </w:t>
      </w:r>
      <w:r w:rsidRPr="006730E3">
        <w:rPr>
          <w:rFonts w:ascii="Calibri" w:hAnsi="Calibri" w:cs="Times New Roman"/>
          <w:sz w:val="24"/>
          <w:szCs w:val="24"/>
        </w:rPr>
        <w:t>un</w:t>
      </w:r>
      <w:r w:rsidR="000E2C8E" w:rsidRPr="006730E3">
        <w:rPr>
          <w:rFonts w:ascii="Calibri" w:hAnsi="Calibri" w:cs="Times New Roman"/>
          <w:sz w:val="24"/>
          <w:szCs w:val="24"/>
        </w:rPr>
        <w:t xml:space="preserve"> peculiar</w:t>
      </w:r>
      <w:r w:rsidRPr="006730E3">
        <w:rPr>
          <w:rFonts w:ascii="Calibri" w:hAnsi="Calibri" w:cs="Times New Roman"/>
          <w:sz w:val="24"/>
          <w:szCs w:val="24"/>
        </w:rPr>
        <w:t xml:space="preserve"> y, a nuestro entender, erróneo</w:t>
      </w:r>
      <w:r w:rsidR="000E2C8E" w:rsidRPr="006730E3">
        <w:rPr>
          <w:rFonts w:ascii="Calibri" w:hAnsi="Calibri" w:cs="Times New Roman"/>
          <w:sz w:val="24"/>
          <w:szCs w:val="24"/>
        </w:rPr>
        <w:t xml:space="preserve"> </w:t>
      </w:r>
      <w:r w:rsidR="009764C5" w:rsidRPr="006730E3">
        <w:rPr>
          <w:rFonts w:ascii="Calibri" w:hAnsi="Calibri" w:cs="Times New Roman"/>
          <w:sz w:val="24"/>
          <w:szCs w:val="24"/>
        </w:rPr>
        <w:t>discernimiento entre</w:t>
      </w:r>
      <w:r w:rsidR="000E2C8E" w:rsidRPr="006730E3">
        <w:rPr>
          <w:rFonts w:ascii="Calibri" w:hAnsi="Calibri" w:cs="Times New Roman"/>
          <w:sz w:val="24"/>
          <w:szCs w:val="24"/>
        </w:rPr>
        <w:t xml:space="preserve"> las normas imperativas y</w:t>
      </w:r>
      <w:r w:rsidR="009764C5" w:rsidRPr="006730E3">
        <w:rPr>
          <w:rFonts w:ascii="Calibri" w:hAnsi="Calibri" w:cs="Times New Roman"/>
          <w:sz w:val="24"/>
          <w:szCs w:val="24"/>
        </w:rPr>
        <w:t xml:space="preserve"> las </w:t>
      </w:r>
      <w:r w:rsidR="000E2C8E" w:rsidRPr="006730E3">
        <w:rPr>
          <w:rFonts w:ascii="Calibri" w:hAnsi="Calibri" w:cs="Times New Roman"/>
          <w:sz w:val="24"/>
          <w:szCs w:val="24"/>
        </w:rPr>
        <w:t>dispositivas o supletorias</w:t>
      </w:r>
      <w:r w:rsidR="008707B9" w:rsidRPr="006730E3">
        <w:rPr>
          <w:rStyle w:val="Refdenotaalpie"/>
          <w:rFonts w:ascii="Calibri" w:hAnsi="Calibri" w:cs="Times New Roman"/>
          <w:sz w:val="24"/>
          <w:szCs w:val="24"/>
        </w:rPr>
        <w:footnoteReference w:id="58"/>
      </w:r>
      <w:r w:rsidR="004D7A6A" w:rsidRPr="006730E3">
        <w:rPr>
          <w:rFonts w:ascii="Calibri" w:hAnsi="Calibri" w:cs="Times New Roman"/>
          <w:sz w:val="24"/>
          <w:szCs w:val="24"/>
        </w:rPr>
        <w:t xml:space="preserve">. </w:t>
      </w:r>
      <w:r w:rsidR="00DD5930" w:rsidRPr="006730E3">
        <w:rPr>
          <w:rFonts w:ascii="Calibri" w:hAnsi="Calibri" w:cs="Times New Roman"/>
          <w:sz w:val="24"/>
          <w:szCs w:val="24"/>
        </w:rPr>
        <w:t>Tal</w:t>
      </w:r>
      <w:r w:rsidR="004D7A6A" w:rsidRPr="006730E3">
        <w:rPr>
          <w:rFonts w:ascii="Calibri" w:hAnsi="Calibri" w:cs="Times New Roman"/>
          <w:sz w:val="24"/>
          <w:szCs w:val="24"/>
        </w:rPr>
        <w:t xml:space="preserve"> criterio</w:t>
      </w:r>
      <w:r w:rsidR="0026593F" w:rsidRPr="006730E3">
        <w:rPr>
          <w:rFonts w:ascii="Calibri" w:hAnsi="Calibri" w:cs="Times New Roman"/>
          <w:sz w:val="24"/>
          <w:szCs w:val="24"/>
        </w:rPr>
        <w:t xml:space="preserve"> </w:t>
      </w:r>
      <w:r w:rsidR="00136947" w:rsidRPr="006730E3">
        <w:rPr>
          <w:rFonts w:ascii="Calibri" w:hAnsi="Calibri" w:cs="Times New Roman"/>
          <w:sz w:val="24"/>
          <w:szCs w:val="24"/>
        </w:rPr>
        <w:t>se aparta de la concepción más habitual</w:t>
      </w:r>
      <w:r w:rsidR="009764C5" w:rsidRPr="006730E3">
        <w:rPr>
          <w:rFonts w:ascii="Calibri" w:hAnsi="Calibri" w:cs="Times New Roman"/>
          <w:sz w:val="24"/>
          <w:szCs w:val="24"/>
        </w:rPr>
        <w:t xml:space="preserve"> que se maneja en la materia</w:t>
      </w:r>
      <w:r w:rsidR="009764C5" w:rsidRPr="006730E3">
        <w:rPr>
          <w:rStyle w:val="Refdenotaalpie"/>
          <w:rFonts w:ascii="Calibri" w:hAnsi="Calibri" w:cs="Times New Roman"/>
          <w:sz w:val="24"/>
          <w:szCs w:val="24"/>
        </w:rPr>
        <w:footnoteReference w:id="59"/>
      </w:r>
      <w:r w:rsidR="004D7A6A" w:rsidRPr="006730E3">
        <w:rPr>
          <w:rFonts w:ascii="Calibri" w:hAnsi="Calibri" w:cs="Times New Roman"/>
          <w:sz w:val="24"/>
          <w:szCs w:val="24"/>
        </w:rPr>
        <w:t xml:space="preserve"> pues, c</w:t>
      </w:r>
      <w:r w:rsidR="0026593F" w:rsidRPr="006730E3">
        <w:rPr>
          <w:rFonts w:ascii="Calibri" w:hAnsi="Calibri" w:cs="Times New Roman"/>
          <w:sz w:val="24"/>
          <w:szCs w:val="24"/>
        </w:rPr>
        <w:t xml:space="preserve">omo se puede comprobar en las transcripciones </w:t>
      </w:r>
      <w:r w:rsidR="00B12771" w:rsidRPr="006730E3">
        <w:rPr>
          <w:rFonts w:ascii="Calibri" w:hAnsi="Calibri" w:cs="Times New Roman"/>
          <w:sz w:val="24"/>
          <w:szCs w:val="24"/>
        </w:rPr>
        <w:t xml:space="preserve">de la Sentencia </w:t>
      </w:r>
      <w:r w:rsidR="00BA4B5A" w:rsidRPr="006730E3">
        <w:rPr>
          <w:rFonts w:ascii="Calibri" w:hAnsi="Calibri" w:cs="Times New Roman"/>
          <w:sz w:val="24"/>
          <w:szCs w:val="24"/>
        </w:rPr>
        <w:t>realizadas</w:t>
      </w:r>
      <w:r w:rsidR="0026593F" w:rsidRPr="006730E3">
        <w:rPr>
          <w:rFonts w:ascii="Calibri" w:hAnsi="Calibri" w:cs="Times New Roman"/>
          <w:sz w:val="24"/>
          <w:szCs w:val="24"/>
        </w:rPr>
        <w:t>,</w:t>
      </w:r>
      <w:r w:rsidR="00644D6B" w:rsidRPr="006730E3">
        <w:rPr>
          <w:rFonts w:ascii="Calibri" w:hAnsi="Calibri" w:cs="Times New Roman"/>
          <w:sz w:val="24"/>
          <w:szCs w:val="24"/>
        </w:rPr>
        <w:t xml:space="preserve"> para el TC</w:t>
      </w:r>
      <w:r w:rsidR="0026593F" w:rsidRPr="006730E3">
        <w:rPr>
          <w:rFonts w:ascii="Calibri" w:hAnsi="Calibri" w:cs="Times New Roman"/>
          <w:sz w:val="24"/>
          <w:szCs w:val="24"/>
        </w:rPr>
        <w:t xml:space="preserve"> </w:t>
      </w:r>
      <w:r w:rsidR="00BB24F1" w:rsidRPr="006730E3">
        <w:rPr>
          <w:rFonts w:ascii="Calibri" w:hAnsi="Calibri" w:cs="Times New Roman"/>
          <w:sz w:val="24"/>
          <w:szCs w:val="24"/>
        </w:rPr>
        <w:t>es imperativa</w:t>
      </w:r>
      <w:r w:rsidR="0026593F" w:rsidRPr="006730E3">
        <w:rPr>
          <w:rFonts w:ascii="Calibri" w:hAnsi="Calibri" w:cs="Times New Roman"/>
          <w:sz w:val="24"/>
          <w:szCs w:val="24"/>
        </w:rPr>
        <w:t xml:space="preserve"> toda aquella norma cuya aplicación no dependa de su asunción voluntaria, expresa e ind</w:t>
      </w:r>
      <w:r w:rsidRPr="006730E3">
        <w:rPr>
          <w:rFonts w:ascii="Calibri" w:hAnsi="Calibri" w:cs="Times New Roman"/>
          <w:sz w:val="24"/>
          <w:szCs w:val="24"/>
        </w:rPr>
        <w:t xml:space="preserve">ividual por parte de la pareja. </w:t>
      </w:r>
    </w:p>
    <w:p w:rsidR="0009307D" w:rsidRPr="006730E3" w:rsidRDefault="00942963" w:rsidP="00416B3A">
      <w:pPr>
        <w:spacing w:line="312" w:lineRule="auto"/>
        <w:jc w:val="both"/>
        <w:rPr>
          <w:rFonts w:ascii="Calibri" w:hAnsi="Calibri" w:cs="Times New Roman"/>
          <w:sz w:val="24"/>
          <w:szCs w:val="24"/>
        </w:rPr>
      </w:pPr>
      <w:r w:rsidRPr="006730E3">
        <w:rPr>
          <w:rFonts w:ascii="Calibri" w:hAnsi="Calibri" w:cs="Times New Roman"/>
          <w:sz w:val="24"/>
          <w:szCs w:val="24"/>
        </w:rPr>
        <w:t>Con ello,</w:t>
      </w:r>
      <w:r w:rsidR="003C758C" w:rsidRPr="006730E3">
        <w:rPr>
          <w:rFonts w:ascii="Calibri" w:hAnsi="Calibri" w:cs="Times New Roman"/>
          <w:sz w:val="24"/>
          <w:szCs w:val="24"/>
        </w:rPr>
        <w:t xml:space="preserve"> cercena la utilidad de toda </w:t>
      </w:r>
      <w:r w:rsidR="00C43CB1" w:rsidRPr="006730E3">
        <w:rPr>
          <w:rFonts w:ascii="Calibri" w:hAnsi="Calibri" w:cs="Times New Roman"/>
          <w:sz w:val="24"/>
          <w:szCs w:val="24"/>
        </w:rPr>
        <w:t xml:space="preserve">posible </w:t>
      </w:r>
      <w:r w:rsidR="003C758C" w:rsidRPr="006730E3">
        <w:rPr>
          <w:rFonts w:ascii="Calibri" w:hAnsi="Calibri" w:cs="Times New Roman"/>
          <w:sz w:val="24"/>
          <w:szCs w:val="24"/>
        </w:rPr>
        <w:t>norma dispositiva</w:t>
      </w:r>
      <w:r w:rsidR="00E049DF" w:rsidRPr="006730E3">
        <w:rPr>
          <w:rFonts w:ascii="Calibri" w:hAnsi="Calibri" w:cs="Times New Roman"/>
          <w:sz w:val="24"/>
          <w:szCs w:val="24"/>
        </w:rPr>
        <w:t xml:space="preserve"> (en el sentido de desplazable o supletoria)</w:t>
      </w:r>
      <w:r w:rsidR="003C758C" w:rsidRPr="006730E3">
        <w:rPr>
          <w:rFonts w:ascii="Calibri" w:hAnsi="Calibri" w:cs="Times New Roman"/>
          <w:sz w:val="24"/>
          <w:szCs w:val="24"/>
        </w:rPr>
        <w:t xml:space="preserve"> en materia de parejas de hecho</w:t>
      </w:r>
      <w:r w:rsidRPr="006730E3">
        <w:rPr>
          <w:rStyle w:val="Refdenotaalpie"/>
          <w:rFonts w:ascii="Calibri" w:hAnsi="Calibri" w:cs="Times New Roman"/>
          <w:sz w:val="24"/>
          <w:szCs w:val="24"/>
        </w:rPr>
        <w:footnoteReference w:id="60"/>
      </w:r>
      <w:r w:rsidR="008707B9" w:rsidRPr="006730E3">
        <w:rPr>
          <w:rFonts w:ascii="Calibri" w:hAnsi="Calibri" w:cs="Times New Roman"/>
          <w:sz w:val="24"/>
          <w:szCs w:val="24"/>
        </w:rPr>
        <w:t xml:space="preserve"> y </w:t>
      </w:r>
      <w:r w:rsidR="00644D6B" w:rsidRPr="006730E3">
        <w:rPr>
          <w:rFonts w:ascii="Calibri" w:hAnsi="Calibri" w:cs="Times New Roman"/>
          <w:sz w:val="24"/>
          <w:szCs w:val="24"/>
        </w:rPr>
        <w:t xml:space="preserve">cimienta el respeto de la autonomía de la </w:t>
      </w:r>
      <w:r w:rsidR="00644D6B" w:rsidRPr="006730E3">
        <w:rPr>
          <w:rFonts w:ascii="Calibri" w:hAnsi="Calibri" w:cs="Times New Roman"/>
          <w:sz w:val="24"/>
          <w:szCs w:val="24"/>
        </w:rPr>
        <w:lastRenderedPageBreak/>
        <w:t>voluntad de un modo innecesariamente estricto</w:t>
      </w:r>
      <w:r w:rsidR="00644D6B" w:rsidRPr="006730E3">
        <w:rPr>
          <w:rStyle w:val="Refdenotaalpie"/>
          <w:rFonts w:ascii="Calibri" w:hAnsi="Calibri" w:cs="Times New Roman"/>
          <w:sz w:val="24"/>
          <w:szCs w:val="24"/>
        </w:rPr>
        <w:footnoteReference w:id="61"/>
      </w:r>
      <w:r w:rsidR="00644D6B" w:rsidRPr="006730E3">
        <w:rPr>
          <w:rFonts w:ascii="Calibri" w:hAnsi="Calibri" w:cs="Times New Roman"/>
          <w:sz w:val="24"/>
          <w:szCs w:val="24"/>
        </w:rPr>
        <w:t>.</w:t>
      </w:r>
      <w:r w:rsidR="008707B9" w:rsidRPr="006730E3">
        <w:rPr>
          <w:rFonts w:ascii="Calibri" w:hAnsi="Calibri" w:cs="Times New Roman"/>
          <w:sz w:val="24"/>
          <w:szCs w:val="24"/>
        </w:rPr>
        <w:t xml:space="preserve"> </w:t>
      </w:r>
      <w:r w:rsidR="007D6E1C" w:rsidRPr="006730E3">
        <w:rPr>
          <w:rFonts w:ascii="Calibri" w:hAnsi="Calibri" w:cs="Times New Roman"/>
          <w:sz w:val="24"/>
          <w:szCs w:val="24"/>
        </w:rPr>
        <w:t>La regulación</w:t>
      </w:r>
      <w:r w:rsidR="008707B9" w:rsidRPr="006730E3">
        <w:rPr>
          <w:rFonts w:ascii="Calibri" w:hAnsi="Calibri" w:cs="Times New Roman"/>
          <w:sz w:val="24"/>
          <w:szCs w:val="24"/>
        </w:rPr>
        <w:t xml:space="preserve"> de la DAT, al igual que el de la LN, es totalmente </w:t>
      </w:r>
      <w:proofErr w:type="gramStart"/>
      <w:r w:rsidR="008707B9" w:rsidRPr="006730E3">
        <w:rPr>
          <w:rFonts w:ascii="Calibri" w:hAnsi="Calibri" w:cs="Times New Roman"/>
          <w:sz w:val="24"/>
          <w:szCs w:val="24"/>
        </w:rPr>
        <w:t>respetuoso</w:t>
      </w:r>
      <w:proofErr w:type="gramEnd"/>
      <w:r w:rsidR="008707B9" w:rsidRPr="006730E3">
        <w:rPr>
          <w:rFonts w:ascii="Calibri" w:hAnsi="Calibri" w:cs="Times New Roman"/>
          <w:sz w:val="24"/>
          <w:szCs w:val="24"/>
        </w:rPr>
        <w:t xml:space="preserve"> con la libertad de las personas dado que</w:t>
      </w:r>
      <w:r w:rsidR="00C34EDB" w:rsidRPr="006730E3">
        <w:rPr>
          <w:rFonts w:ascii="Calibri" w:hAnsi="Calibri" w:cs="Times New Roman"/>
          <w:sz w:val="24"/>
          <w:szCs w:val="24"/>
        </w:rPr>
        <w:t xml:space="preserve">, </w:t>
      </w:r>
      <w:r w:rsidR="008707B9" w:rsidRPr="006730E3">
        <w:rPr>
          <w:rFonts w:ascii="Calibri" w:hAnsi="Calibri" w:cs="Times New Roman"/>
          <w:sz w:val="24"/>
          <w:szCs w:val="24"/>
        </w:rPr>
        <w:t>como sistema</w:t>
      </w:r>
      <w:r w:rsidR="003509E8" w:rsidRPr="006730E3">
        <w:rPr>
          <w:rFonts w:ascii="Calibri" w:hAnsi="Calibri" w:cs="Times New Roman"/>
          <w:sz w:val="24"/>
          <w:szCs w:val="24"/>
        </w:rPr>
        <w:t xml:space="preserve"> </w:t>
      </w:r>
      <w:proofErr w:type="spellStart"/>
      <w:r w:rsidR="003509E8" w:rsidRPr="006730E3">
        <w:rPr>
          <w:rFonts w:ascii="Calibri" w:hAnsi="Calibri" w:cs="Times New Roman"/>
          <w:i/>
          <w:sz w:val="24"/>
          <w:szCs w:val="24"/>
        </w:rPr>
        <w:t>opt</w:t>
      </w:r>
      <w:proofErr w:type="spellEnd"/>
      <w:r w:rsidR="003509E8" w:rsidRPr="006730E3">
        <w:rPr>
          <w:rFonts w:ascii="Calibri" w:hAnsi="Calibri" w:cs="Times New Roman"/>
          <w:i/>
          <w:sz w:val="24"/>
          <w:szCs w:val="24"/>
        </w:rPr>
        <w:t>-in</w:t>
      </w:r>
      <w:r w:rsidR="008707B9" w:rsidRPr="006730E3">
        <w:rPr>
          <w:rFonts w:ascii="Calibri" w:hAnsi="Calibri" w:cs="Times New Roman"/>
          <w:sz w:val="24"/>
          <w:szCs w:val="24"/>
        </w:rPr>
        <w:t xml:space="preserve">, </w:t>
      </w:r>
      <w:r w:rsidR="00155CC1" w:rsidRPr="006730E3">
        <w:rPr>
          <w:rFonts w:ascii="Calibri" w:hAnsi="Calibri" w:cs="Times New Roman"/>
          <w:sz w:val="24"/>
          <w:szCs w:val="24"/>
        </w:rPr>
        <w:t>s</w:t>
      </w:r>
      <w:r w:rsidR="007B3D34" w:rsidRPr="006730E3">
        <w:rPr>
          <w:rFonts w:ascii="Calibri" w:hAnsi="Calibri" w:cs="Times New Roman"/>
          <w:sz w:val="24"/>
          <w:szCs w:val="24"/>
        </w:rPr>
        <w:t>ólo se aplica</w:t>
      </w:r>
      <w:r w:rsidR="00407ADD" w:rsidRPr="006730E3">
        <w:rPr>
          <w:rFonts w:ascii="Calibri" w:hAnsi="Calibri" w:cs="Times New Roman"/>
          <w:sz w:val="24"/>
          <w:szCs w:val="24"/>
        </w:rPr>
        <w:t>n</w:t>
      </w:r>
      <w:r w:rsidR="007B3D34" w:rsidRPr="006730E3">
        <w:rPr>
          <w:rFonts w:ascii="Calibri" w:hAnsi="Calibri" w:cs="Times New Roman"/>
          <w:sz w:val="24"/>
          <w:szCs w:val="24"/>
        </w:rPr>
        <w:t xml:space="preserve"> a quienes</w:t>
      </w:r>
      <w:r w:rsidR="00155CC1" w:rsidRPr="006730E3">
        <w:rPr>
          <w:rFonts w:ascii="Calibri" w:hAnsi="Calibri" w:cs="Times New Roman"/>
          <w:sz w:val="24"/>
          <w:szCs w:val="24"/>
        </w:rPr>
        <w:t xml:space="preserve"> lo desean</w:t>
      </w:r>
      <w:r w:rsidR="00C34EDB" w:rsidRPr="006730E3">
        <w:rPr>
          <w:rStyle w:val="Refdenotaalpie"/>
          <w:rFonts w:ascii="Calibri" w:hAnsi="Calibri" w:cs="Times New Roman"/>
          <w:sz w:val="24"/>
          <w:szCs w:val="24"/>
        </w:rPr>
        <w:footnoteReference w:id="62"/>
      </w:r>
      <w:r w:rsidR="00407ADD" w:rsidRPr="006730E3">
        <w:rPr>
          <w:rFonts w:ascii="Calibri" w:hAnsi="Calibri" w:cs="Times New Roman"/>
          <w:sz w:val="24"/>
          <w:szCs w:val="24"/>
        </w:rPr>
        <w:t>. O</w:t>
      </w:r>
      <w:r w:rsidR="002802F2" w:rsidRPr="006730E3">
        <w:rPr>
          <w:rFonts w:ascii="Calibri" w:hAnsi="Calibri" w:cs="Times New Roman"/>
          <w:sz w:val="24"/>
          <w:szCs w:val="24"/>
        </w:rPr>
        <w:t xml:space="preserve">ptar voluntariamente </w:t>
      </w:r>
      <w:r w:rsidR="008D209B" w:rsidRPr="006730E3">
        <w:rPr>
          <w:rFonts w:ascii="Calibri" w:hAnsi="Calibri" w:cs="Times New Roman"/>
          <w:sz w:val="24"/>
          <w:szCs w:val="24"/>
        </w:rPr>
        <w:t>por un determinado régimen jurídico que el legislador ofrece, supone conoce</w:t>
      </w:r>
      <w:r w:rsidR="003128C3" w:rsidRPr="006730E3">
        <w:rPr>
          <w:rFonts w:ascii="Calibri" w:hAnsi="Calibri" w:cs="Times New Roman"/>
          <w:sz w:val="24"/>
          <w:szCs w:val="24"/>
        </w:rPr>
        <w:t>r más o menos dicha institución; p</w:t>
      </w:r>
      <w:r w:rsidR="008D209B" w:rsidRPr="006730E3">
        <w:rPr>
          <w:rFonts w:ascii="Calibri" w:hAnsi="Calibri" w:cs="Times New Roman"/>
          <w:sz w:val="24"/>
          <w:szCs w:val="24"/>
        </w:rPr>
        <w:t xml:space="preserve">ero no </w:t>
      </w:r>
      <w:r w:rsidR="003128C3" w:rsidRPr="006730E3">
        <w:rPr>
          <w:rFonts w:ascii="Calibri" w:hAnsi="Calibri" w:cs="Times New Roman"/>
          <w:sz w:val="24"/>
          <w:szCs w:val="24"/>
        </w:rPr>
        <w:t>procede</w:t>
      </w:r>
      <w:r w:rsidR="008D209B" w:rsidRPr="006730E3">
        <w:rPr>
          <w:rFonts w:ascii="Calibri" w:hAnsi="Calibri" w:cs="Times New Roman"/>
          <w:sz w:val="24"/>
          <w:szCs w:val="24"/>
        </w:rPr>
        <w:t xml:space="preserve"> exigir a los convivientes la fiscalización</w:t>
      </w:r>
      <w:r w:rsidR="00E049DF" w:rsidRPr="006730E3">
        <w:rPr>
          <w:rFonts w:ascii="Calibri" w:hAnsi="Calibri" w:cs="Times New Roman"/>
          <w:sz w:val="24"/>
          <w:szCs w:val="24"/>
        </w:rPr>
        <w:t xml:space="preserve"> y asunción expresa</w:t>
      </w:r>
      <w:r w:rsidR="008D209B" w:rsidRPr="006730E3">
        <w:rPr>
          <w:rFonts w:ascii="Calibri" w:hAnsi="Calibri" w:cs="Times New Roman"/>
          <w:sz w:val="24"/>
          <w:szCs w:val="24"/>
        </w:rPr>
        <w:t xml:space="preserve"> de todas y cada una de las consecuencias que dicha regulación conlleva. </w:t>
      </w:r>
    </w:p>
    <w:p w:rsidR="0009307D" w:rsidRPr="006730E3" w:rsidRDefault="008D209B"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Nadie cuestiona que los cónyuges </w:t>
      </w:r>
      <w:r w:rsidR="003128C3" w:rsidRPr="006730E3">
        <w:rPr>
          <w:rFonts w:ascii="Calibri" w:hAnsi="Calibri" w:cs="Times New Roman"/>
          <w:sz w:val="24"/>
          <w:szCs w:val="24"/>
        </w:rPr>
        <w:t>están sujetos a</w:t>
      </w:r>
      <w:r w:rsidRPr="006730E3">
        <w:rPr>
          <w:rFonts w:ascii="Calibri" w:hAnsi="Calibri" w:cs="Times New Roman"/>
          <w:sz w:val="24"/>
          <w:szCs w:val="24"/>
        </w:rPr>
        <w:t xml:space="preserve"> las normas</w:t>
      </w:r>
      <w:r w:rsidR="00224055" w:rsidRPr="006730E3">
        <w:rPr>
          <w:rFonts w:ascii="Calibri" w:hAnsi="Calibri" w:cs="Times New Roman"/>
          <w:sz w:val="24"/>
          <w:szCs w:val="24"/>
        </w:rPr>
        <w:t xml:space="preserve"> comunes</w:t>
      </w:r>
      <w:r w:rsidRPr="006730E3">
        <w:rPr>
          <w:rFonts w:ascii="Calibri" w:hAnsi="Calibri" w:cs="Times New Roman"/>
          <w:sz w:val="24"/>
          <w:szCs w:val="24"/>
        </w:rPr>
        <w:t xml:space="preserve"> </w:t>
      </w:r>
      <w:r w:rsidR="00224055" w:rsidRPr="006730E3">
        <w:rPr>
          <w:rFonts w:ascii="Calibri" w:hAnsi="Calibri" w:cs="Times New Roman"/>
          <w:sz w:val="24"/>
          <w:szCs w:val="24"/>
        </w:rPr>
        <w:t>relativas</w:t>
      </w:r>
      <w:r w:rsidRPr="006730E3">
        <w:rPr>
          <w:rFonts w:ascii="Calibri" w:hAnsi="Calibri" w:cs="Times New Roman"/>
          <w:sz w:val="24"/>
          <w:szCs w:val="24"/>
        </w:rPr>
        <w:t xml:space="preserve"> </w:t>
      </w:r>
      <w:r w:rsidR="00224055" w:rsidRPr="006730E3">
        <w:rPr>
          <w:rFonts w:ascii="Calibri" w:hAnsi="Calibri" w:cs="Times New Roman"/>
          <w:sz w:val="24"/>
          <w:szCs w:val="24"/>
        </w:rPr>
        <w:t xml:space="preserve">al </w:t>
      </w:r>
      <w:r w:rsidRPr="006730E3">
        <w:rPr>
          <w:rFonts w:ascii="Calibri" w:hAnsi="Calibri" w:cs="Times New Roman"/>
          <w:sz w:val="24"/>
          <w:szCs w:val="24"/>
        </w:rPr>
        <w:t xml:space="preserve">matrimonio, así como </w:t>
      </w:r>
      <w:r w:rsidR="003128C3" w:rsidRPr="006730E3">
        <w:rPr>
          <w:rFonts w:ascii="Calibri" w:hAnsi="Calibri" w:cs="Times New Roman"/>
          <w:sz w:val="24"/>
          <w:szCs w:val="24"/>
        </w:rPr>
        <w:t xml:space="preserve">a </w:t>
      </w:r>
      <w:r w:rsidRPr="006730E3">
        <w:rPr>
          <w:rFonts w:ascii="Calibri" w:hAnsi="Calibri" w:cs="Times New Roman"/>
          <w:sz w:val="24"/>
          <w:szCs w:val="24"/>
        </w:rPr>
        <w:t xml:space="preserve">las </w:t>
      </w:r>
      <w:r w:rsidR="00224055" w:rsidRPr="006730E3">
        <w:rPr>
          <w:rFonts w:ascii="Calibri" w:hAnsi="Calibri" w:cs="Times New Roman"/>
          <w:sz w:val="24"/>
          <w:szCs w:val="24"/>
        </w:rPr>
        <w:t xml:space="preserve">específicas </w:t>
      </w:r>
      <w:r w:rsidR="00BB24F1" w:rsidRPr="006730E3">
        <w:rPr>
          <w:rFonts w:ascii="Calibri" w:hAnsi="Calibri" w:cs="Times New Roman"/>
          <w:sz w:val="24"/>
          <w:szCs w:val="24"/>
        </w:rPr>
        <w:t xml:space="preserve">disposiciones del </w:t>
      </w:r>
      <w:r w:rsidRPr="006730E3">
        <w:rPr>
          <w:rFonts w:ascii="Calibri" w:hAnsi="Calibri" w:cs="Times New Roman"/>
          <w:sz w:val="24"/>
          <w:szCs w:val="24"/>
        </w:rPr>
        <w:t>régimen económico matrimonial</w:t>
      </w:r>
      <w:r w:rsidR="00BB24F1" w:rsidRPr="006730E3">
        <w:rPr>
          <w:rFonts w:ascii="Calibri" w:hAnsi="Calibri" w:cs="Times New Roman"/>
          <w:sz w:val="24"/>
          <w:szCs w:val="24"/>
        </w:rPr>
        <w:t xml:space="preserve"> aplicable</w:t>
      </w:r>
      <w:r w:rsidR="00224055" w:rsidRPr="006730E3">
        <w:rPr>
          <w:rFonts w:ascii="Calibri" w:hAnsi="Calibri" w:cs="Times New Roman"/>
          <w:sz w:val="24"/>
          <w:szCs w:val="24"/>
        </w:rPr>
        <w:t>,</w:t>
      </w:r>
      <w:r w:rsidRPr="006730E3">
        <w:rPr>
          <w:rFonts w:ascii="Calibri" w:hAnsi="Calibri" w:cs="Times New Roman"/>
          <w:sz w:val="24"/>
          <w:szCs w:val="24"/>
        </w:rPr>
        <w:t xml:space="preserve"> </w:t>
      </w:r>
      <w:r w:rsidR="00224055" w:rsidRPr="006730E3">
        <w:rPr>
          <w:rFonts w:ascii="Calibri" w:hAnsi="Calibri" w:cs="Times New Roman"/>
          <w:sz w:val="24"/>
          <w:szCs w:val="24"/>
        </w:rPr>
        <w:t xml:space="preserve">aunque no conozcan en detalle lo que el matrimonio, en general, y el régimen económico, en particular, </w:t>
      </w:r>
      <w:r w:rsidR="00BA6187" w:rsidRPr="006730E3">
        <w:rPr>
          <w:rFonts w:ascii="Calibri" w:hAnsi="Calibri" w:cs="Times New Roman"/>
          <w:sz w:val="24"/>
          <w:szCs w:val="24"/>
        </w:rPr>
        <w:t>comportan</w:t>
      </w:r>
      <w:r w:rsidR="00224055" w:rsidRPr="006730E3">
        <w:rPr>
          <w:rFonts w:ascii="Calibri" w:hAnsi="Calibri" w:cs="Times New Roman"/>
          <w:sz w:val="24"/>
          <w:szCs w:val="24"/>
        </w:rPr>
        <w:t xml:space="preserve">. Del mismo modo, a la pareja que se inscribe en el RPHG y declara su voluntad de equiparar los efectos </w:t>
      </w:r>
      <w:r w:rsidR="0009307D" w:rsidRPr="006730E3">
        <w:rPr>
          <w:rFonts w:ascii="Calibri" w:hAnsi="Calibri" w:cs="Times New Roman"/>
          <w:sz w:val="24"/>
          <w:szCs w:val="24"/>
        </w:rPr>
        <w:t>de la convivencia al matrimonio</w:t>
      </w:r>
      <w:r w:rsidR="00224055" w:rsidRPr="006730E3">
        <w:rPr>
          <w:rFonts w:ascii="Calibri" w:hAnsi="Calibri" w:cs="Times New Roman"/>
          <w:sz w:val="24"/>
          <w:szCs w:val="24"/>
        </w:rPr>
        <w:t xml:space="preserve"> se le aplicarán tales efectos, incluido el sometimiento al régimen de sociedad de gananciales, independientemente del mayor o menor grado de conocimiento de los mismos</w:t>
      </w:r>
      <w:r w:rsidR="0009307D" w:rsidRPr="006730E3">
        <w:rPr>
          <w:rFonts w:ascii="Calibri" w:hAnsi="Calibri" w:cs="Times New Roman"/>
          <w:sz w:val="24"/>
          <w:szCs w:val="24"/>
        </w:rPr>
        <w:t xml:space="preserve"> y de la mayor o menor reflexión adoptada en su decisión</w:t>
      </w:r>
      <w:r w:rsidR="00224055" w:rsidRPr="006730E3">
        <w:rPr>
          <w:rStyle w:val="Refdenotaalpie"/>
          <w:rFonts w:ascii="Calibri" w:hAnsi="Calibri" w:cs="Times New Roman"/>
          <w:sz w:val="24"/>
          <w:szCs w:val="24"/>
        </w:rPr>
        <w:footnoteReference w:id="63"/>
      </w:r>
      <w:r w:rsidR="00224055" w:rsidRPr="006730E3">
        <w:rPr>
          <w:rFonts w:ascii="Calibri" w:hAnsi="Calibri" w:cs="Times New Roman"/>
          <w:sz w:val="24"/>
          <w:szCs w:val="24"/>
        </w:rPr>
        <w:t>.</w:t>
      </w:r>
      <w:r w:rsidR="0009307D" w:rsidRPr="006730E3">
        <w:rPr>
          <w:rFonts w:ascii="Calibri" w:hAnsi="Calibri" w:cs="Times New Roman"/>
          <w:sz w:val="24"/>
          <w:szCs w:val="24"/>
        </w:rPr>
        <w:t xml:space="preserve"> </w:t>
      </w:r>
      <w:r w:rsidR="00CA787D" w:rsidRPr="006730E3">
        <w:rPr>
          <w:rFonts w:ascii="Calibri" w:hAnsi="Calibri" w:cs="Times New Roman"/>
          <w:sz w:val="24"/>
          <w:szCs w:val="24"/>
        </w:rPr>
        <w:t xml:space="preserve">El procedimiento de incorporación al RPHG supone que la pareja proceda </w:t>
      </w:r>
      <w:r w:rsidR="0009307D" w:rsidRPr="006730E3">
        <w:rPr>
          <w:rFonts w:ascii="Calibri" w:hAnsi="Calibri" w:cs="Times New Roman"/>
          <w:sz w:val="24"/>
          <w:szCs w:val="24"/>
        </w:rPr>
        <w:t xml:space="preserve">en alguna medida a ponderar cuáles son las consecuencias de optar por dicho régimen legal. </w:t>
      </w:r>
      <w:r w:rsidR="00CA787D" w:rsidRPr="006730E3">
        <w:rPr>
          <w:rFonts w:ascii="Calibri" w:hAnsi="Calibri" w:cs="Times New Roman"/>
          <w:sz w:val="24"/>
          <w:szCs w:val="24"/>
        </w:rPr>
        <w:t>La solicitud</w:t>
      </w:r>
      <w:r w:rsidR="00142DC0" w:rsidRPr="006730E3">
        <w:rPr>
          <w:rFonts w:ascii="Calibri" w:hAnsi="Calibri" w:cs="Times New Roman"/>
          <w:sz w:val="24"/>
          <w:szCs w:val="24"/>
        </w:rPr>
        <w:t xml:space="preserve"> de incorporación al RPHG</w:t>
      </w:r>
      <w:r w:rsidR="00CA787D" w:rsidRPr="006730E3">
        <w:rPr>
          <w:rFonts w:ascii="Calibri" w:hAnsi="Calibri" w:cs="Times New Roman"/>
          <w:sz w:val="24"/>
          <w:szCs w:val="24"/>
        </w:rPr>
        <w:t xml:space="preserve">, en la que se manifiesta el cumplimiento de todos los requisitos de la DAT, debe ir firmada por ambos miembros de la pareja y </w:t>
      </w:r>
      <w:r w:rsidR="00BB24F1" w:rsidRPr="006730E3">
        <w:rPr>
          <w:rFonts w:ascii="Calibri" w:hAnsi="Calibri" w:cs="Times New Roman"/>
          <w:sz w:val="24"/>
          <w:szCs w:val="24"/>
        </w:rPr>
        <w:t>acompañada</w:t>
      </w:r>
      <w:r w:rsidR="00CA787D" w:rsidRPr="006730E3">
        <w:rPr>
          <w:rFonts w:ascii="Calibri" w:hAnsi="Calibri" w:cs="Times New Roman"/>
          <w:sz w:val="24"/>
          <w:szCs w:val="24"/>
        </w:rPr>
        <w:t xml:space="preserve"> </w:t>
      </w:r>
      <w:r w:rsidR="00BB24F1" w:rsidRPr="006730E3">
        <w:rPr>
          <w:rFonts w:ascii="Calibri" w:hAnsi="Calibri" w:cs="Times New Roman"/>
          <w:sz w:val="24"/>
          <w:szCs w:val="24"/>
        </w:rPr>
        <w:t>con la</w:t>
      </w:r>
      <w:r w:rsidR="00CA787D" w:rsidRPr="006730E3">
        <w:rPr>
          <w:rFonts w:ascii="Calibri" w:hAnsi="Calibri" w:cs="Times New Roman"/>
          <w:sz w:val="24"/>
          <w:szCs w:val="24"/>
        </w:rPr>
        <w:t xml:space="preserve"> declaración de voluntad de constituir la pareja y equiparar sus efectos a los del matrimonio. Además, </w:t>
      </w:r>
      <w:r w:rsidR="00BB24F1" w:rsidRPr="006730E3">
        <w:rPr>
          <w:rFonts w:ascii="Calibri" w:hAnsi="Calibri" w:cs="Times New Roman"/>
          <w:sz w:val="24"/>
          <w:szCs w:val="24"/>
        </w:rPr>
        <w:t xml:space="preserve">a </w:t>
      </w:r>
      <w:r w:rsidR="00502398" w:rsidRPr="006730E3">
        <w:rPr>
          <w:rFonts w:ascii="Calibri" w:hAnsi="Calibri" w:cs="Times New Roman"/>
          <w:sz w:val="24"/>
          <w:szCs w:val="24"/>
        </w:rPr>
        <w:t xml:space="preserve">la solicitud de inscripción puede </w:t>
      </w:r>
      <w:r w:rsidR="00BB24F1" w:rsidRPr="006730E3">
        <w:rPr>
          <w:rFonts w:ascii="Calibri" w:hAnsi="Calibri" w:cs="Times New Roman"/>
          <w:sz w:val="24"/>
          <w:szCs w:val="24"/>
        </w:rPr>
        <w:t xml:space="preserve">agregarse </w:t>
      </w:r>
      <w:r w:rsidR="00502398" w:rsidRPr="006730E3">
        <w:rPr>
          <w:rFonts w:ascii="Calibri" w:hAnsi="Calibri" w:cs="Times New Roman"/>
          <w:sz w:val="24"/>
          <w:szCs w:val="24"/>
        </w:rPr>
        <w:t xml:space="preserve">el pacto regulador de las relaciones patrimoniales de la pareja, establecido en escritura pública, </w:t>
      </w:r>
      <w:r w:rsidR="00BB24F1" w:rsidRPr="006730E3">
        <w:rPr>
          <w:rFonts w:ascii="Calibri" w:hAnsi="Calibri" w:cs="Times New Roman"/>
          <w:sz w:val="24"/>
          <w:szCs w:val="24"/>
        </w:rPr>
        <w:t>constando</w:t>
      </w:r>
      <w:r w:rsidR="00502398" w:rsidRPr="006730E3">
        <w:rPr>
          <w:rFonts w:ascii="Calibri" w:hAnsi="Calibri" w:cs="Times New Roman"/>
          <w:sz w:val="24"/>
          <w:szCs w:val="24"/>
        </w:rPr>
        <w:t xml:space="preserve"> </w:t>
      </w:r>
      <w:r w:rsidR="00BB24F1" w:rsidRPr="006730E3">
        <w:rPr>
          <w:rFonts w:ascii="Calibri" w:hAnsi="Calibri" w:cs="Times New Roman"/>
          <w:sz w:val="24"/>
          <w:szCs w:val="24"/>
        </w:rPr>
        <w:t>necesariamente</w:t>
      </w:r>
      <w:r w:rsidR="00502398" w:rsidRPr="006730E3">
        <w:rPr>
          <w:rFonts w:ascii="Calibri" w:hAnsi="Calibri" w:cs="Times New Roman"/>
          <w:sz w:val="24"/>
          <w:szCs w:val="24"/>
        </w:rPr>
        <w:t xml:space="preserve"> en dicha solicitud si se añade dicho pacto o no</w:t>
      </w:r>
      <w:r w:rsidR="00502398" w:rsidRPr="006730E3">
        <w:rPr>
          <w:rStyle w:val="Refdenotaalpie"/>
          <w:rFonts w:ascii="Calibri" w:hAnsi="Calibri" w:cs="Times New Roman"/>
          <w:sz w:val="24"/>
          <w:szCs w:val="24"/>
        </w:rPr>
        <w:footnoteReference w:id="64"/>
      </w:r>
      <w:r w:rsidR="00502398" w:rsidRPr="006730E3">
        <w:rPr>
          <w:rFonts w:ascii="Calibri" w:hAnsi="Calibri" w:cs="Times New Roman"/>
          <w:sz w:val="24"/>
          <w:szCs w:val="24"/>
        </w:rPr>
        <w:t>.</w:t>
      </w:r>
      <w:r w:rsidR="007D6E1C" w:rsidRPr="006730E3">
        <w:rPr>
          <w:rFonts w:ascii="Calibri" w:hAnsi="Calibri" w:cs="Times New Roman"/>
          <w:sz w:val="24"/>
          <w:szCs w:val="24"/>
        </w:rPr>
        <w:t xml:space="preserve"> Decir que este sistema no es respetuoso con la autonomía de la voluntad de la pareja no casada es una inexactitud. No obstante, es la conclusión a la que llegamos si extrapolamos la doctrina del TC a la DAT.</w:t>
      </w:r>
    </w:p>
    <w:p w:rsidR="000501F2" w:rsidRPr="006730E3" w:rsidRDefault="00631E2A"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el fallo del TC subyace aquella idea según la cual </w:t>
      </w:r>
      <w:r w:rsidR="00794C82" w:rsidRPr="006730E3">
        <w:rPr>
          <w:rFonts w:ascii="Calibri" w:hAnsi="Calibri" w:cs="Times New Roman"/>
          <w:sz w:val="24"/>
          <w:szCs w:val="24"/>
        </w:rPr>
        <w:t xml:space="preserve">«supondría una </w:t>
      </w:r>
      <w:proofErr w:type="spellStart"/>
      <w:r w:rsidR="00794C82" w:rsidRPr="006730E3">
        <w:rPr>
          <w:rFonts w:ascii="Calibri" w:hAnsi="Calibri" w:cs="Times New Roman"/>
          <w:i/>
          <w:iCs/>
          <w:sz w:val="24"/>
          <w:szCs w:val="24"/>
        </w:rPr>
        <w:t>contradictio</w:t>
      </w:r>
      <w:proofErr w:type="spellEnd"/>
      <w:r w:rsidR="00794C82" w:rsidRPr="006730E3">
        <w:rPr>
          <w:rFonts w:ascii="Calibri" w:hAnsi="Calibri" w:cs="Times New Roman"/>
          <w:i/>
          <w:iCs/>
          <w:sz w:val="24"/>
          <w:szCs w:val="24"/>
        </w:rPr>
        <w:t xml:space="preserve"> in </w:t>
      </w:r>
      <w:proofErr w:type="spellStart"/>
      <w:r w:rsidR="00794C82" w:rsidRPr="006730E3">
        <w:rPr>
          <w:rFonts w:ascii="Calibri" w:hAnsi="Calibri" w:cs="Times New Roman"/>
          <w:i/>
          <w:iCs/>
          <w:sz w:val="24"/>
          <w:szCs w:val="24"/>
        </w:rPr>
        <w:t>terminis</w:t>
      </w:r>
      <w:proofErr w:type="spellEnd"/>
      <w:r w:rsidR="00794C82" w:rsidRPr="006730E3">
        <w:rPr>
          <w:rFonts w:ascii="Calibri" w:hAnsi="Calibri" w:cs="Times New Roman"/>
          <w:sz w:val="24"/>
          <w:szCs w:val="24"/>
        </w:rPr>
        <w:t>, convertir en “unión de derecho” una relación estable puramente fáctica integrada por dos personas que han excluido voluntariamente acogerse a la institución matrimonial»</w:t>
      </w:r>
      <w:r w:rsidR="00794C82" w:rsidRPr="006730E3">
        <w:rPr>
          <w:rStyle w:val="Refdenotaalpie"/>
          <w:rFonts w:ascii="Calibri" w:hAnsi="Calibri" w:cs="Times New Roman"/>
          <w:sz w:val="24"/>
          <w:szCs w:val="24"/>
        </w:rPr>
        <w:footnoteReference w:id="65"/>
      </w:r>
      <w:r w:rsidR="00794C82" w:rsidRPr="006730E3">
        <w:rPr>
          <w:rFonts w:ascii="Calibri" w:hAnsi="Calibri" w:cs="Times New Roman"/>
          <w:sz w:val="24"/>
          <w:szCs w:val="24"/>
        </w:rPr>
        <w:t>.</w:t>
      </w:r>
      <w:r w:rsidR="00BE05AC" w:rsidRPr="006730E3">
        <w:rPr>
          <w:rFonts w:ascii="Calibri" w:hAnsi="Calibri" w:cs="Times New Roman"/>
          <w:sz w:val="24"/>
          <w:szCs w:val="24"/>
        </w:rPr>
        <w:t xml:space="preserve"> </w:t>
      </w:r>
      <w:r w:rsidRPr="006730E3">
        <w:rPr>
          <w:rFonts w:ascii="Calibri" w:hAnsi="Calibri" w:cs="Times New Roman"/>
          <w:sz w:val="24"/>
          <w:szCs w:val="24"/>
        </w:rPr>
        <w:t>Ciertamente, l</w:t>
      </w:r>
      <w:r w:rsidR="00BE05AC" w:rsidRPr="006730E3">
        <w:rPr>
          <w:rFonts w:ascii="Calibri" w:hAnsi="Calibri" w:cs="Times New Roman"/>
          <w:sz w:val="24"/>
          <w:szCs w:val="24"/>
        </w:rPr>
        <w:t>a doctrina se muestra cautelosa a la hora de plantear</w:t>
      </w:r>
      <w:r w:rsidRPr="006730E3">
        <w:rPr>
          <w:rFonts w:ascii="Calibri" w:hAnsi="Calibri" w:cs="Times New Roman"/>
          <w:sz w:val="24"/>
          <w:szCs w:val="24"/>
        </w:rPr>
        <w:t>se</w:t>
      </w:r>
      <w:r w:rsidR="00BE05AC" w:rsidRPr="006730E3">
        <w:rPr>
          <w:rFonts w:ascii="Calibri" w:hAnsi="Calibri" w:cs="Times New Roman"/>
          <w:sz w:val="24"/>
          <w:szCs w:val="24"/>
        </w:rPr>
        <w:t xml:space="preserve"> la institucionalización </w:t>
      </w:r>
      <w:r w:rsidR="00BE05AC" w:rsidRPr="006730E3">
        <w:rPr>
          <w:rFonts w:ascii="Calibri" w:hAnsi="Calibri" w:cs="Times New Roman"/>
          <w:sz w:val="24"/>
          <w:szCs w:val="24"/>
        </w:rPr>
        <w:lastRenderedPageBreak/>
        <w:t>de la pareja de hecho, señalando como</w:t>
      </w:r>
      <w:r w:rsidRPr="006730E3">
        <w:rPr>
          <w:rFonts w:ascii="Calibri" w:hAnsi="Calibri" w:cs="Times New Roman"/>
          <w:sz w:val="24"/>
          <w:szCs w:val="24"/>
        </w:rPr>
        <w:t xml:space="preserve"> límites infranqueables de toda posible regulación la naturaleza fáctica de la relación </w:t>
      </w:r>
      <w:proofErr w:type="spellStart"/>
      <w:r w:rsidRPr="006730E3">
        <w:rPr>
          <w:rFonts w:ascii="Calibri" w:hAnsi="Calibri" w:cs="Times New Roman"/>
          <w:sz w:val="24"/>
          <w:szCs w:val="24"/>
        </w:rPr>
        <w:t>convivencial</w:t>
      </w:r>
      <w:proofErr w:type="spellEnd"/>
      <w:r w:rsidRPr="006730E3">
        <w:rPr>
          <w:rFonts w:ascii="Calibri" w:hAnsi="Calibri" w:cs="Times New Roman"/>
          <w:sz w:val="24"/>
          <w:szCs w:val="24"/>
        </w:rPr>
        <w:t xml:space="preserve"> y la no suplantación del matrimonio</w:t>
      </w:r>
      <w:r w:rsidRPr="006730E3">
        <w:rPr>
          <w:rStyle w:val="Refdenotaalpie"/>
          <w:rFonts w:ascii="Calibri" w:hAnsi="Calibri" w:cs="Times New Roman"/>
          <w:sz w:val="24"/>
          <w:szCs w:val="24"/>
        </w:rPr>
        <w:footnoteReference w:id="66"/>
      </w:r>
      <w:r w:rsidR="00A14D4A" w:rsidRPr="006730E3">
        <w:rPr>
          <w:rFonts w:ascii="Calibri" w:hAnsi="Calibri" w:cs="Times New Roman"/>
          <w:sz w:val="24"/>
          <w:szCs w:val="24"/>
        </w:rPr>
        <w:t xml:space="preserve">; cuestión, esta última, </w:t>
      </w:r>
      <w:r w:rsidR="00260C72" w:rsidRPr="006730E3">
        <w:rPr>
          <w:rFonts w:ascii="Calibri" w:hAnsi="Calibri" w:cs="Times New Roman"/>
          <w:sz w:val="24"/>
          <w:szCs w:val="24"/>
        </w:rPr>
        <w:t>por la que la doctrina ha puesto</w:t>
      </w:r>
      <w:r w:rsidR="00D638E9" w:rsidRPr="006730E3">
        <w:rPr>
          <w:rFonts w:ascii="Calibri" w:hAnsi="Calibri" w:cs="Times New Roman"/>
          <w:sz w:val="24"/>
          <w:szCs w:val="24"/>
        </w:rPr>
        <w:t xml:space="preserve"> en duda la constitucionalidad de la DAT la cual, </w:t>
      </w:r>
      <w:r w:rsidR="003128C3" w:rsidRPr="006730E3">
        <w:rPr>
          <w:rFonts w:ascii="Calibri" w:hAnsi="Calibri" w:cs="Times New Roman"/>
          <w:sz w:val="24"/>
          <w:szCs w:val="24"/>
        </w:rPr>
        <w:t>al</w:t>
      </w:r>
      <w:r w:rsidR="00D638E9" w:rsidRPr="006730E3">
        <w:rPr>
          <w:rFonts w:ascii="Calibri" w:hAnsi="Calibri" w:cs="Times New Roman"/>
          <w:sz w:val="24"/>
          <w:szCs w:val="24"/>
        </w:rPr>
        <w:t xml:space="preserve"> exigir la formalización de la pareja, </w:t>
      </w:r>
      <w:r w:rsidR="00E049DF" w:rsidRPr="006730E3">
        <w:rPr>
          <w:rFonts w:ascii="Calibri" w:hAnsi="Calibri" w:cs="Times New Roman"/>
          <w:sz w:val="24"/>
          <w:szCs w:val="24"/>
        </w:rPr>
        <w:t>podría estar</w:t>
      </w:r>
      <w:r w:rsidR="00D638E9" w:rsidRPr="006730E3">
        <w:rPr>
          <w:rFonts w:ascii="Calibri" w:hAnsi="Calibri" w:cs="Times New Roman"/>
          <w:sz w:val="24"/>
          <w:szCs w:val="24"/>
        </w:rPr>
        <w:t xml:space="preserve"> creando </w:t>
      </w:r>
      <w:r w:rsidR="00CC4E8A" w:rsidRPr="006730E3">
        <w:rPr>
          <w:rFonts w:ascii="Calibri" w:hAnsi="Calibri" w:cs="Times New Roman"/>
          <w:sz w:val="24"/>
          <w:szCs w:val="24"/>
        </w:rPr>
        <w:t>una nueva forma de matrimonio, competencia en todo caso exclusiva del Estado conforme al art. 149.1.8ª CE</w:t>
      </w:r>
      <w:r w:rsidR="00CC4E8A" w:rsidRPr="006730E3">
        <w:rPr>
          <w:rStyle w:val="Refdenotaalpie"/>
          <w:rFonts w:ascii="Calibri" w:hAnsi="Calibri" w:cs="Times New Roman"/>
          <w:sz w:val="24"/>
          <w:szCs w:val="24"/>
        </w:rPr>
        <w:footnoteReference w:id="67"/>
      </w:r>
      <w:r w:rsidR="00CC4E8A" w:rsidRPr="006730E3">
        <w:rPr>
          <w:rFonts w:ascii="Calibri" w:hAnsi="Calibri" w:cs="Times New Roman"/>
          <w:sz w:val="24"/>
          <w:szCs w:val="24"/>
        </w:rPr>
        <w:t>.</w:t>
      </w:r>
    </w:p>
    <w:p w:rsidR="00260C72" w:rsidRPr="006730E3" w:rsidRDefault="00260C72" w:rsidP="00416B3A">
      <w:pPr>
        <w:spacing w:line="312" w:lineRule="auto"/>
        <w:jc w:val="both"/>
        <w:rPr>
          <w:rFonts w:ascii="Calibri" w:hAnsi="Calibri" w:cs="Times New Roman"/>
          <w:sz w:val="24"/>
          <w:szCs w:val="24"/>
        </w:rPr>
      </w:pPr>
      <w:r w:rsidRPr="006730E3">
        <w:rPr>
          <w:rFonts w:ascii="Calibri" w:hAnsi="Calibri" w:cs="Times New Roman"/>
          <w:sz w:val="24"/>
          <w:szCs w:val="24"/>
        </w:rPr>
        <w:t>Pero al no permitir la existencia de normas dispositivas propiamente dichas en materia civil, incluida la patrimonial, el TC sobredimensiona las exigencias de mantener el carácter puramente fáctico de la pareja y de reconocer la más plena libertad del individuo</w:t>
      </w:r>
      <w:r w:rsidR="000740E2" w:rsidRPr="006730E3">
        <w:rPr>
          <w:rFonts w:ascii="Calibri" w:hAnsi="Calibri" w:cs="Times New Roman"/>
          <w:sz w:val="24"/>
          <w:szCs w:val="24"/>
        </w:rPr>
        <w:t xml:space="preserve"> y, en consecuencia, impide que el sistema creado por la DAT supere el exigente test de constitucionalidad que establece</w:t>
      </w:r>
      <w:r w:rsidRPr="006730E3">
        <w:rPr>
          <w:rFonts w:ascii="Calibri" w:hAnsi="Calibri" w:cs="Times New Roman"/>
          <w:sz w:val="24"/>
          <w:szCs w:val="24"/>
        </w:rPr>
        <w:t>. En efecto, ello supone prescindir de previsiones que protejan al miembro más débil de la relación y corrijan posibles desequilibrios económicos que se gesten a lo largo de la convivencia; cuestiones por las que surgirán la mayoría de los conflictos en el momento de la finalización de la vida en pareja y que toda regulación de las parejas de hecho debe estar encaminada a solventar</w:t>
      </w:r>
      <w:r w:rsidRPr="006730E3">
        <w:rPr>
          <w:rStyle w:val="Refdenotaalpie"/>
          <w:rFonts w:ascii="Calibri" w:hAnsi="Calibri" w:cs="Times New Roman"/>
          <w:sz w:val="24"/>
          <w:szCs w:val="24"/>
        </w:rPr>
        <w:footnoteReference w:id="68"/>
      </w:r>
      <w:r w:rsidRPr="006730E3">
        <w:rPr>
          <w:rFonts w:ascii="Calibri" w:hAnsi="Calibri" w:cs="Times New Roman"/>
          <w:sz w:val="24"/>
          <w:szCs w:val="24"/>
        </w:rPr>
        <w:t>. Como se ha dicho acertadamente, «la trascendencia económica de una relación tiene su origen en la convivencia, en la vida en común y quizá no tanto en el matrimonio»</w:t>
      </w:r>
      <w:r w:rsidRPr="006730E3">
        <w:rPr>
          <w:rStyle w:val="Refdenotaalpie"/>
          <w:rFonts w:ascii="Calibri" w:hAnsi="Calibri" w:cs="Times New Roman"/>
          <w:sz w:val="24"/>
          <w:szCs w:val="24"/>
        </w:rPr>
        <w:footnoteReference w:id="69"/>
      </w:r>
      <w:r w:rsidRPr="006730E3">
        <w:rPr>
          <w:rFonts w:ascii="Calibri" w:hAnsi="Calibri" w:cs="Times New Roman"/>
          <w:sz w:val="24"/>
          <w:szCs w:val="24"/>
        </w:rPr>
        <w:t>.</w:t>
      </w:r>
    </w:p>
    <w:p w:rsidR="00290D8D" w:rsidRPr="006730E3" w:rsidRDefault="00260C72" w:rsidP="00416B3A">
      <w:pPr>
        <w:spacing w:line="312" w:lineRule="auto"/>
        <w:jc w:val="both"/>
        <w:rPr>
          <w:rFonts w:ascii="Calibri" w:hAnsi="Calibri" w:cs="Times New Roman"/>
          <w:sz w:val="24"/>
          <w:szCs w:val="24"/>
        </w:rPr>
      </w:pPr>
      <w:r w:rsidRPr="006730E3">
        <w:rPr>
          <w:rFonts w:ascii="Calibri" w:hAnsi="Calibri" w:cs="Times New Roman"/>
          <w:sz w:val="24"/>
          <w:szCs w:val="24"/>
        </w:rPr>
        <w:t>Por estas mismas razones, aunque un sistema formal como la DAT sea respetuoso con la voluntad de la pareja que escoge libremente someterse a su régimen,</w:t>
      </w:r>
      <w:r w:rsidR="0098320A" w:rsidRPr="006730E3">
        <w:rPr>
          <w:rFonts w:ascii="Calibri" w:hAnsi="Calibri" w:cs="Times New Roman"/>
          <w:sz w:val="24"/>
          <w:szCs w:val="24"/>
        </w:rPr>
        <w:t xml:space="preserve"> no está exento de críticas pues</w:t>
      </w:r>
      <w:r w:rsidRPr="006730E3">
        <w:rPr>
          <w:rFonts w:ascii="Calibri" w:hAnsi="Calibri" w:cs="Times New Roman"/>
          <w:sz w:val="24"/>
          <w:szCs w:val="24"/>
        </w:rPr>
        <w:t xml:space="preserve"> plantea importantes objeciones, como su no aplicación a todos aquellos que no hayan formalizado su relación, independientemente de cuáles fuesen los motivos; supuestos que seguirán siendo resueltos, con mayor o menor fortuna, en sede judicial</w:t>
      </w:r>
      <w:r w:rsidRPr="006730E3">
        <w:rPr>
          <w:rStyle w:val="Refdenotaalpie"/>
          <w:rFonts w:ascii="Calibri" w:hAnsi="Calibri" w:cs="Times New Roman"/>
          <w:sz w:val="24"/>
          <w:szCs w:val="24"/>
        </w:rPr>
        <w:footnoteReference w:id="70"/>
      </w:r>
      <w:r w:rsidRPr="006730E3">
        <w:rPr>
          <w:rFonts w:ascii="Calibri" w:hAnsi="Calibri" w:cs="Times New Roman"/>
          <w:sz w:val="24"/>
          <w:szCs w:val="24"/>
        </w:rPr>
        <w:t>.</w:t>
      </w:r>
    </w:p>
    <w:p w:rsidR="000B0B1A" w:rsidRPr="006730E3" w:rsidRDefault="000B0B1A" w:rsidP="00416B3A">
      <w:pPr>
        <w:spacing w:line="312" w:lineRule="auto"/>
        <w:jc w:val="both"/>
        <w:rPr>
          <w:rFonts w:ascii="Calibri" w:hAnsi="Calibri" w:cs="Times New Roman"/>
          <w:sz w:val="24"/>
          <w:szCs w:val="24"/>
        </w:rPr>
      </w:pPr>
      <w:r w:rsidRPr="006730E3">
        <w:rPr>
          <w:rFonts w:ascii="Calibri" w:hAnsi="Calibri" w:cs="Times New Roman"/>
          <w:sz w:val="24"/>
          <w:szCs w:val="24"/>
        </w:rPr>
        <w:t>Dejando así cerrada la cuestión del respeto de la autonomía de la voluntad de los miembros de la pareja</w:t>
      </w:r>
      <w:r w:rsidR="0032032D" w:rsidRPr="006730E3">
        <w:rPr>
          <w:rFonts w:ascii="Calibri" w:hAnsi="Calibri" w:cs="Times New Roman"/>
          <w:sz w:val="24"/>
          <w:szCs w:val="24"/>
        </w:rPr>
        <w:t xml:space="preserve"> de la DAT</w:t>
      </w:r>
      <w:r w:rsidRPr="006730E3">
        <w:rPr>
          <w:rFonts w:ascii="Calibri" w:hAnsi="Calibri" w:cs="Times New Roman"/>
          <w:sz w:val="24"/>
          <w:szCs w:val="24"/>
        </w:rPr>
        <w:t xml:space="preserve">, </w:t>
      </w:r>
      <w:r w:rsidR="0032032D" w:rsidRPr="006730E3">
        <w:rPr>
          <w:rFonts w:ascii="Calibri" w:hAnsi="Calibri" w:cs="Times New Roman"/>
          <w:sz w:val="24"/>
          <w:szCs w:val="24"/>
        </w:rPr>
        <w:t xml:space="preserve">queremos aprovechar las últimas líneas de este apartado para realizar </w:t>
      </w:r>
      <w:r w:rsidR="00434811" w:rsidRPr="006730E3">
        <w:rPr>
          <w:rFonts w:ascii="Calibri" w:hAnsi="Calibri" w:cs="Times New Roman"/>
          <w:sz w:val="24"/>
          <w:szCs w:val="24"/>
        </w:rPr>
        <w:t>una</w:t>
      </w:r>
      <w:r w:rsidR="0032032D" w:rsidRPr="006730E3">
        <w:rPr>
          <w:rFonts w:ascii="Calibri" w:hAnsi="Calibri" w:cs="Times New Roman"/>
          <w:sz w:val="24"/>
          <w:szCs w:val="24"/>
        </w:rPr>
        <w:t xml:space="preserve"> </w:t>
      </w:r>
      <w:r w:rsidR="00290D8D" w:rsidRPr="006730E3">
        <w:rPr>
          <w:rFonts w:ascii="Calibri" w:hAnsi="Calibri" w:cs="Times New Roman"/>
          <w:sz w:val="24"/>
          <w:szCs w:val="24"/>
        </w:rPr>
        <w:t>digresión</w:t>
      </w:r>
      <w:r w:rsidR="00434811" w:rsidRPr="006730E3">
        <w:rPr>
          <w:rFonts w:ascii="Calibri" w:hAnsi="Calibri" w:cs="Times New Roman"/>
          <w:sz w:val="24"/>
          <w:szCs w:val="24"/>
        </w:rPr>
        <w:t xml:space="preserve"> de carácter más general y </w:t>
      </w:r>
      <w:proofErr w:type="gramStart"/>
      <w:r w:rsidR="00434811" w:rsidRPr="006730E3">
        <w:rPr>
          <w:rFonts w:ascii="Calibri" w:hAnsi="Calibri" w:cs="Times New Roman"/>
          <w:sz w:val="24"/>
          <w:szCs w:val="24"/>
        </w:rPr>
        <w:t>relacionada</w:t>
      </w:r>
      <w:proofErr w:type="gramEnd"/>
      <w:r w:rsidR="00434811" w:rsidRPr="006730E3">
        <w:rPr>
          <w:rFonts w:ascii="Calibri" w:hAnsi="Calibri" w:cs="Times New Roman"/>
          <w:sz w:val="24"/>
          <w:szCs w:val="24"/>
        </w:rPr>
        <w:t xml:space="preserve"> con el clima de confusión que provoca la </w:t>
      </w:r>
      <w:r w:rsidR="00290D8D" w:rsidRPr="006730E3">
        <w:rPr>
          <w:rFonts w:ascii="Calibri" w:hAnsi="Calibri" w:cs="Times New Roman"/>
          <w:sz w:val="24"/>
          <w:szCs w:val="24"/>
        </w:rPr>
        <w:t>STC 93/2013, de 23 de abril</w:t>
      </w:r>
      <w:r w:rsidR="0032032D" w:rsidRPr="006730E3">
        <w:rPr>
          <w:rFonts w:ascii="Calibri" w:hAnsi="Calibri" w:cs="Times New Roman"/>
          <w:sz w:val="24"/>
          <w:szCs w:val="24"/>
        </w:rPr>
        <w:t>. Dado que el TC anula los preceptos de la LN relativos a los efectos civiles de la pareja (tanto los genuinamente dispositivos como el único propiamente imperativo identificado</w:t>
      </w:r>
      <w:r w:rsidR="00434811" w:rsidRPr="006730E3">
        <w:rPr>
          <w:rFonts w:ascii="Calibri" w:hAnsi="Calibri" w:cs="Times New Roman"/>
          <w:sz w:val="24"/>
          <w:szCs w:val="24"/>
        </w:rPr>
        <w:t xml:space="preserve"> entre los analizados</w:t>
      </w:r>
      <w:r w:rsidR="0032032D" w:rsidRPr="006730E3">
        <w:rPr>
          <w:rStyle w:val="Refdenotaalpie"/>
          <w:rFonts w:ascii="Calibri" w:hAnsi="Calibri" w:cs="Times New Roman"/>
          <w:sz w:val="24"/>
          <w:szCs w:val="24"/>
        </w:rPr>
        <w:footnoteReference w:id="71"/>
      </w:r>
      <w:r w:rsidR="0032032D" w:rsidRPr="006730E3">
        <w:rPr>
          <w:rFonts w:ascii="Calibri" w:hAnsi="Calibri" w:cs="Times New Roman"/>
          <w:sz w:val="24"/>
          <w:szCs w:val="24"/>
        </w:rPr>
        <w:t xml:space="preserve">) por la supuesta vulneración del </w:t>
      </w:r>
      <w:r w:rsidR="0032032D" w:rsidRPr="006730E3">
        <w:rPr>
          <w:rFonts w:ascii="Calibri" w:hAnsi="Calibri" w:cs="Times New Roman"/>
          <w:sz w:val="24"/>
          <w:szCs w:val="24"/>
        </w:rPr>
        <w:lastRenderedPageBreak/>
        <w:t>art. 10.1 CE, cabe preguntarse a qué ámbito debería quedar reducido una regulación autonómica de las parejas no casadas. Según dice el TC, no se declara la inconstitucionalidad del conjunto de la LN porque parte de la misma «se refiere a derechos de carácter público, reconocidos por el legislador en ámbitos propios de su competencia, que implican unos beneficios para uno o los dos miembros de la pareja estable, lo que apriorísticamente no conlleva tal vulneración</w:t>
      </w:r>
      <w:r w:rsidR="0032032D" w:rsidRPr="006730E3">
        <w:rPr>
          <w:rStyle w:val="Refdenotaalpie"/>
          <w:rFonts w:ascii="Calibri" w:hAnsi="Calibri" w:cs="Times New Roman"/>
          <w:sz w:val="24"/>
          <w:szCs w:val="24"/>
        </w:rPr>
        <w:footnoteReference w:id="72"/>
      </w:r>
      <w:r w:rsidR="0032032D" w:rsidRPr="006730E3">
        <w:rPr>
          <w:rFonts w:ascii="Calibri" w:hAnsi="Calibri" w:cs="Times New Roman"/>
          <w:sz w:val="24"/>
          <w:szCs w:val="24"/>
        </w:rPr>
        <w:t>». Es decir, al eliminar los efectos civiles de la pareja no casada, la utilidad de la LN</w:t>
      </w:r>
      <w:r w:rsidR="00290D8D" w:rsidRPr="006730E3">
        <w:rPr>
          <w:rFonts w:ascii="Calibri" w:hAnsi="Calibri" w:cs="Times New Roman"/>
          <w:sz w:val="24"/>
          <w:szCs w:val="24"/>
        </w:rPr>
        <w:t xml:space="preserve"> (</w:t>
      </w:r>
      <w:r w:rsidR="00434811" w:rsidRPr="006730E3">
        <w:rPr>
          <w:rFonts w:ascii="Calibri" w:hAnsi="Calibri" w:cs="Times New Roman"/>
          <w:sz w:val="24"/>
          <w:szCs w:val="24"/>
        </w:rPr>
        <w:t>o de otra</w:t>
      </w:r>
      <w:r w:rsidR="00290D8D" w:rsidRPr="006730E3">
        <w:rPr>
          <w:rFonts w:ascii="Calibri" w:hAnsi="Calibri" w:cs="Times New Roman"/>
          <w:sz w:val="24"/>
          <w:szCs w:val="24"/>
        </w:rPr>
        <w:t xml:space="preserve"> ley autonómica como la gallega)</w:t>
      </w:r>
      <w:r w:rsidR="0032032D" w:rsidRPr="006730E3">
        <w:rPr>
          <w:rFonts w:ascii="Calibri" w:hAnsi="Calibri" w:cs="Times New Roman"/>
          <w:sz w:val="24"/>
          <w:szCs w:val="24"/>
        </w:rPr>
        <w:t xml:space="preserve"> quedaría </w:t>
      </w:r>
      <w:proofErr w:type="gramStart"/>
      <w:r w:rsidR="0032032D" w:rsidRPr="006730E3">
        <w:rPr>
          <w:rFonts w:ascii="Calibri" w:hAnsi="Calibri" w:cs="Times New Roman"/>
          <w:sz w:val="24"/>
          <w:szCs w:val="24"/>
        </w:rPr>
        <w:t>circunscrito</w:t>
      </w:r>
      <w:proofErr w:type="gramEnd"/>
      <w:r w:rsidR="0032032D" w:rsidRPr="006730E3">
        <w:rPr>
          <w:rFonts w:ascii="Calibri" w:hAnsi="Calibri" w:cs="Times New Roman"/>
          <w:sz w:val="24"/>
          <w:szCs w:val="24"/>
        </w:rPr>
        <w:t xml:space="preserve"> al ámbito del Derecho público.</w:t>
      </w:r>
    </w:p>
    <w:p w:rsidR="007C2E5B" w:rsidRPr="006730E3" w:rsidRDefault="0032032D" w:rsidP="00416B3A">
      <w:pPr>
        <w:spacing w:line="312" w:lineRule="auto"/>
        <w:jc w:val="both"/>
        <w:rPr>
          <w:rFonts w:ascii="Calibri" w:hAnsi="Calibri" w:cs="Times New Roman"/>
          <w:sz w:val="24"/>
          <w:szCs w:val="24"/>
        </w:rPr>
      </w:pPr>
      <w:r w:rsidRPr="006730E3">
        <w:rPr>
          <w:rFonts w:ascii="Calibri" w:hAnsi="Calibri" w:cs="Times New Roman"/>
          <w:sz w:val="24"/>
          <w:szCs w:val="24"/>
        </w:rPr>
        <w:t>En una primera aproximación, ello podría justificar la sencillez con la que el TC</w:t>
      </w:r>
      <w:r w:rsidR="00434811" w:rsidRPr="006730E3">
        <w:rPr>
          <w:rFonts w:ascii="Calibri" w:hAnsi="Calibri" w:cs="Times New Roman"/>
          <w:sz w:val="24"/>
          <w:szCs w:val="24"/>
        </w:rPr>
        <w:t xml:space="preserve"> afirma que </w:t>
      </w:r>
      <w:r w:rsidRPr="006730E3">
        <w:rPr>
          <w:rFonts w:ascii="Calibri" w:hAnsi="Calibri" w:cs="Times New Roman"/>
          <w:sz w:val="24"/>
          <w:szCs w:val="24"/>
        </w:rPr>
        <w:t xml:space="preserve"> </w:t>
      </w:r>
      <w:r w:rsidR="00434811" w:rsidRPr="006730E3">
        <w:rPr>
          <w:rFonts w:ascii="Calibri" w:hAnsi="Calibri" w:cs="Times New Roman"/>
          <w:sz w:val="24"/>
          <w:szCs w:val="24"/>
        </w:rPr>
        <w:t xml:space="preserve">la equiparación entre parejas no casadas y el matrimonio que realiza la LN no </w:t>
      </w:r>
      <w:proofErr w:type="gramStart"/>
      <w:r w:rsidR="00290D8D" w:rsidRPr="006730E3">
        <w:rPr>
          <w:rFonts w:ascii="Calibri" w:hAnsi="Calibri" w:cs="Times New Roman"/>
          <w:sz w:val="24"/>
          <w:szCs w:val="24"/>
        </w:rPr>
        <w:t>supone</w:t>
      </w:r>
      <w:proofErr w:type="gramEnd"/>
      <w:r w:rsidR="00434811" w:rsidRPr="006730E3">
        <w:rPr>
          <w:rFonts w:ascii="Calibri" w:hAnsi="Calibri" w:cs="Times New Roman"/>
          <w:sz w:val="24"/>
          <w:szCs w:val="24"/>
        </w:rPr>
        <w:t xml:space="preserve"> la vulneración de la competencia exclusiva del Estado sobre las relaciones jurídico-civiles relativas a las formas del matrimonio</w:t>
      </w:r>
      <w:r w:rsidR="00434811" w:rsidRPr="006730E3">
        <w:rPr>
          <w:rStyle w:val="Refdenotaalpie"/>
          <w:rFonts w:ascii="Calibri" w:hAnsi="Calibri" w:cs="Times New Roman"/>
          <w:sz w:val="24"/>
          <w:szCs w:val="24"/>
        </w:rPr>
        <w:footnoteReference w:id="73"/>
      </w:r>
      <w:r w:rsidR="00434811" w:rsidRPr="006730E3">
        <w:rPr>
          <w:rFonts w:ascii="Calibri" w:hAnsi="Calibri" w:cs="Times New Roman"/>
          <w:sz w:val="24"/>
          <w:szCs w:val="24"/>
        </w:rPr>
        <w:t>. Del mismo modo, con ello se entendería la ausencia</w:t>
      </w:r>
      <w:r w:rsidR="00290D8D" w:rsidRPr="006730E3">
        <w:rPr>
          <w:rFonts w:ascii="Calibri" w:hAnsi="Calibri" w:cs="Times New Roman"/>
          <w:sz w:val="24"/>
          <w:szCs w:val="24"/>
        </w:rPr>
        <w:t xml:space="preserve"> en este caso</w:t>
      </w:r>
      <w:r w:rsidR="00434811" w:rsidRPr="006730E3">
        <w:rPr>
          <w:rFonts w:ascii="Calibri" w:hAnsi="Calibri" w:cs="Times New Roman"/>
          <w:sz w:val="24"/>
          <w:szCs w:val="24"/>
        </w:rPr>
        <w:t xml:space="preserve"> de un análisis sobre el alcance de las competencias del legislador navarro en materia civil para regular sustantivamente la realidad de las parejas no casadas, aunque se entendiese que la regulación de la pareja no suplanta el matrimonio, teniendo en cuenta el apego del TC a la tesis de la «conexión suficiente» entre la institución nuevamente regulada y la institución o el derecho civil preexistente. En efecto, al declarar inconstitucionales los mencionados artículos, no habría ciertamente dicho riesgo de suplantación ni razón alguna para entrar en el análisis del alcance de la competencia del legislador navarro en materia civil. </w:t>
      </w:r>
      <w:r w:rsidR="002E23D9" w:rsidRPr="006730E3">
        <w:rPr>
          <w:rFonts w:ascii="Calibri" w:hAnsi="Calibri" w:cs="Times New Roman"/>
          <w:sz w:val="24"/>
          <w:szCs w:val="24"/>
        </w:rPr>
        <w:t xml:space="preserve">Sin embargo, </w:t>
      </w:r>
      <w:r w:rsidR="007C2E5B" w:rsidRPr="006730E3">
        <w:rPr>
          <w:rFonts w:ascii="Calibri" w:hAnsi="Calibri" w:cs="Times New Roman"/>
          <w:sz w:val="24"/>
          <w:szCs w:val="24"/>
        </w:rPr>
        <w:t>ello no es exactamente así</w:t>
      </w:r>
      <w:r w:rsidR="00290D8D" w:rsidRPr="006730E3">
        <w:rPr>
          <w:rFonts w:ascii="Calibri" w:hAnsi="Calibri" w:cs="Times New Roman"/>
          <w:sz w:val="24"/>
          <w:szCs w:val="24"/>
        </w:rPr>
        <w:t>, por lo que</w:t>
      </w:r>
      <w:r w:rsidR="00AB2EA7" w:rsidRPr="006730E3">
        <w:rPr>
          <w:rFonts w:ascii="Calibri" w:hAnsi="Calibri" w:cs="Times New Roman"/>
          <w:sz w:val="24"/>
          <w:szCs w:val="24"/>
        </w:rPr>
        <w:t xml:space="preserve"> procede hacer alguna precisión</w:t>
      </w:r>
      <w:r w:rsidR="007C2E5B" w:rsidRPr="006730E3">
        <w:rPr>
          <w:rFonts w:ascii="Calibri" w:hAnsi="Calibri" w:cs="Times New Roman"/>
          <w:sz w:val="24"/>
          <w:szCs w:val="24"/>
        </w:rPr>
        <w:t>.</w:t>
      </w:r>
    </w:p>
    <w:p w:rsidR="00111F1A" w:rsidRPr="006730E3" w:rsidRDefault="007C2E5B" w:rsidP="00416B3A">
      <w:pPr>
        <w:spacing w:line="312" w:lineRule="auto"/>
        <w:jc w:val="both"/>
        <w:rPr>
          <w:rFonts w:ascii="Calibri" w:hAnsi="Calibri" w:cs="Times New Roman"/>
          <w:sz w:val="24"/>
          <w:szCs w:val="24"/>
        </w:rPr>
      </w:pPr>
      <w:r w:rsidRPr="006730E3">
        <w:rPr>
          <w:rFonts w:ascii="Calibri" w:hAnsi="Calibri" w:cs="Times New Roman"/>
          <w:sz w:val="24"/>
          <w:szCs w:val="24"/>
        </w:rPr>
        <w:t>C</w:t>
      </w:r>
      <w:r w:rsidR="00031CF1" w:rsidRPr="006730E3">
        <w:rPr>
          <w:rFonts w:ascii="Calibri" w:hAnsi="Calibri" w:cs="Times New Roman"/>
          <w:sz w:val="24"/>
          <w:szCs w:val="24"/>
        </w:rPr>
        <w:t xml:space="preserve">on relación a la posible vulneración </w:t>
      </w:r>
      <w:r w:rsidR="002E23D9" w:rsidRPr="006730E3">
        <w:rPr>
          <w:rFonts w:ascii="Calibri" w:hAnsi="Calibri" w:cs="Times New Roman"/>
          <w:sz w:val="24"/>
          <w:szCs w:val="24"/>
        </w:rPr>
        <w:t xml:space="preserve">de la competencia exclusiva del Estado sobre las relaciones jurídico-civiles relativas a las formas del matrimonio, </w:t>
      </w:r>
      <w:r w:rsidR="00290D8D" w:rsidRPr="006730E3">
        <w:rPr>
          <w:rFonts w:ascii="Calibri" w:hAnsi="Calibri" w:cs="Times New Roman"/>
          <w:sz w:val="24"/>
          <w:szCs w:val="24"/>
        </w:rPr>
        <w:t>seguimos</w:t>
      </w:r>
      <w:r w:rsidR="002E23D9" w:rsidRPr="006730E3">
        <w:rPr>
          <w:rFonts w:ascii="Calibri" w:hAnsi="Calibri" w:cs="Times New Roman"/>
          <w:sz w:val="24"/>
          <w:szCs w:val="24"/>
        </w:rPr>
        <w:t xml:space="preserve"> el orden que el TC ha seguido en su análisis. El TC realiza la declaración general de que la LN no se extralimita en sus competencias antes de </w:t>
      </w:r>
      <w:r w:rsidR="007D6B6B" w:rsidRPr="006730E3">
        <w:rPr>
          <w:rFonts w:ascii="Calibri" w:hAnsi="Calibri" w:cs="Times New Roman"/>
          <w:sz w:val="24"/>
          <w:szCs w:val="24"/>
        </w:rPr>
        <w:t>anular</w:t>
      </w:r>
      <w:r w:rsidR="002E23D9" w:rsidRPr="006730E3">
        <w:rPr>
          <w:rFonts w:ascii="Calibri" w:hAnsi="Calibri" w:cs="Times New Roman"/>
          <w:sz w:val="24"/>
          <w:szCs w:val="24"/>
        </w:rPr>
        <w:t xml:space="preserve"> uno por uno los diversos preceptos que regulan los efectos civiles de la pareja. Por ello nos preguntamos si en la mente del TC ya </w:t>
      </w:r>
      <w:r w:rsidR="00290D8D" w:rsidRPr="006730E3">
        <w:rPr>
          <w:rFonts w:ascii="Calibri" w:hAnsi="Calibri" w:cs="Times New Roman"/>
          <w:sz w:val="24"/>
          <w:szCs w:val="24"/>
        </w:rPr>
        <w:t>estaba</w:t>
      </w:r>
      <w:r w:rsidR="002E23D9" w:rsidRPr="006730E3">
        <w:rPr>
          <w:rFonts w:ascii="Calibri" w:hAnsi="Calibri" w:cs="Times New Roman"/>
          <w:sz w:val="24"/>
          <w:szCs w:val="24"/>
        </w:rPr>
        <w:t xml:space="preserve"> esa inmediata (pero todavía futura) anulación de dichos preceptos en </w:t>
      </w:r>
      <w:r w:rsidR="003020A6" w:rsidRPr="006730E3">
        <w:rPr>
          <w:rFonts w:ascii="Calibri" w:hAnsi="Calibri" w:cs="Times New Roman"/>
          <w:sz w:val="24"/>
          <w:szCs w:val="24"/>
        </w:rPr>
        <w:t>el</w:t>
      </w:r>
      <w:r w:rsidR="002E23D9" w:rsidRPr="006730E3">
        <w:rPr>
          <w:rFonts w:ascii="Calibri" w:hAnsi="Calibri" w:cs="Times New Roman"/>
          <w:sz w:val="24"/>
          <w:szCs w:val="24"/>
        </w:rPr>
        <w:t xml:space="preserve"> momento </w:t>
      </w:r>
      <w:r w:rsidR="003020A6" w:rsidRPr="006730E3">
        <w:rPr>
          <w:rFonts w:ascii="Calibri" w:hAnsi="Calibri" w:cs="Times New Roman"/>
          <w:sz w:val="24"/>
          <w:szCs w:val="24"/>
        </w:rPr>
        <w:t>(</w:t>
      </w:r>
      <w:r w:rsidR="002E23D9" w:rsidRPr="006730E3">
        <w:rPr>
          <w:rFonts w:ascii="Calibri" w:hAnsi="Calibri" w:cs="Times New Roman"/>
          <w:sz w:val="24"/>
          <w:szCs w:val="24"/>
        </w:rPr>
        <w:t>anterior</w:t>
      </w:r>
      <w:r w:rsidR="003020A6" w:rsidRPr="006730E3">
        <w:rPr>
          <w:rFonts w:ascii="Calibri" w:hAnsi="Calibri" w:cs="Times New Roman"/>
          <w:sz w:val="24"/>
          <w:szCs w:val="24"/>
        </w:rPr>
        <w:t>) de aquella declaración</w:t>
      </w:r>
      <w:r w:rsidR="002E23D9" w:rsidRPr="006730E3">
        <w:rPr>
          <w:rFonts w:ascii="Calibri" w:hAnsi="Calibri" w:cs="Times New Roman"/>
          <w:sz w:val="24"/>
          <w:szCs w:val="24"/>
        </w:rPr>
        <w:t xml:space="preserve">. Si </w:t>
      </w:r>
      <w:r w:rsidR="00C43C83" w:rsidRPr="006730E3">
        <w:rPr>
          <w:rFonts w:ascii="Calibri" w:hAnsi="Calibri" w:cs="Times New Roman"/>
          <w:sz w:val="24"/>
          <w:szCs w:val="24"/>
        </w:rPr>
        <w:t>fuese así</w:t>
      </w:r>
      <w:r w:rsidR="002E23D9" w:rsidRPr="006730E3">
        <w:rPr>
          <w:rFonts w:ascii="Calibri" w:hAnsi="Calibri" w:cs="Times New Roman"/>
          <w:sz w:val="24"/>
          <w:szCs w:val="24"/>
        </w:rPr>
        <w:t xml:space="preserve">, quizás </w:t>
      </w:r>
      <w:r w:rsidR="00C43C83" w:rsidRPr="006730E3">
        <w:rPr>
          <w:rFonts w:ascii="Calibri" w:hAnsi="Calibri" w:cs="Times New Roman"/>
          <w:sz w:val="24"/>
          <w:szCs w:val="24"/>
        </w:rPr>
        <w:t>habría</w:t>
      </w:r>
      <w:r w:rsidR="002E23D9" w:rsidRPr="006730E3">
        <w:rPr>
          <w:rFonts w:ascii="Calibri" w:hAnsi="Calibri" w:cs="Times New Roman"/>
          <w:sz w:val="24"/>
          <w:szCs w:val="24"/>
        </w:rPr>
        <w:t xml:space="preserve"> sido más lógico el orden seguido </w:t>
      </w:r>
      <w:r w:rsidR="00031CF1" w:rsidRPr="006730E3">
        <w:rPr>
          <w:rFonts w:ascii="Calibri" w:hAnsi="Calibri" w:cs="Times New Roman"/>
          <w:sz w:val="24"/>
          <w:szCs w:val="24"/>
        </w:rPr>
        <w:t xml:space="preserve">en la STC </w:t>
      </w:r>
      <w:r w:rsidR="00031CF1" w:rsidRPr="006730E3">
        <w:rPr>
          <w:rFonts w:ascii="Calibri" w:hAnsi="Calibri" w:cs="Times New Roman"/>
          <w:bCs/>
          <w:sz w:val="24"/>
          <w:szCs w:val="24"/>
        </w:rPr>
        <w:t>81/2013, de 11 abril</w:t>
      </w:r>
      <w:r w:rsidR="00031CF1" w:rsidRPr="006730E3">
        <w:rPr>
          <w:rStyle w:val="Refdenotaalpie"/>
          <w:rFonts w:ascii="Calibri" w:hAnsi="Calibri" w:cs="Times New Roman"/>
          <w:bCs/>
          <w:sz w:val="24"/>
          <w:szCs w:val="24"/>
        </w:rPr>
        <w:footnoteReference w:id="74"/>
      </w:r>
      <w:r w:rsidR="00031CF1" w:rsidRPr="006730E3">
        <w:rPr>
          <w:rFonts w:ascii="Calibri" w:hAnsi="Calibri" w:cs="Times New Roman"/>
          <w:bCs/>
          <w:sz w:val="24"/>
          <w:szCs w:val="24"/>
        </w:rPr>
        <w:t xml:space="preserve">, por la que se resuelve el recurso de inconstitucionalidad interpuesto contra la </w:t>
      </w:r>
      <w:r w:rsidR="00031CF1" w:rsidRPr="006730E3">
        <w:rPr>
          <w:rFonts w:ascii="Calibri" w:hAnsi="Calibri" w:cs="Times New Roman"/>
          <w:sz w:val="24"/>
          <w:szCs w:val="24"/>
        </w:rPr>
        <w:t>Ley de la Asamblea de Madrid 11/2001 de 19 de diciembre de uniones de hecho</w:t>
      </w:r>
      <w:r w:rsidR="00290D8D" w:rsidRPr="006730E3">
        <w:rPr>
          <w:rFonts w:ascii="Calibri" w:hAnsi="Calibri" w:cs="Times New Roman"/>
          <w:sz w:val="24"/>
          <w:szCs w:val="24"/>
        </w:rPr>
        <w:t>,</w:t>
      </w:r>
      <w:r w:rsidR="00C43C83" w:rsidRPr="006730E3">
        <w:rPr>
          <w:rFonts w:ascii="Calibri" w:hAnsi="Calibri" w:cs="Times New Roman"/>
          <w:sz w:val="24"/>
          <w:szCs w:val="24"/>
        </w:rPr>
        <w:t xml:space="preserve"> </w:t>
      </w:r>
      <w:r w:rsidR="00290D8D" w:rsidRPr="006730E3">
        <w:rPr>
          <w:rFonts w:ascii="Calibri" w:hAnsi="Calibri" w:cs="Times New Roman"/>
          <w:sz w:val="24"/>
          <w:szCs w:val="24"/>
        </w:rPr>
        <w:t>donde se</w:t>
      </w:r>
      <w:r w:rsidR="00C43C83" w:rsidRPr="006730E3">
        <w:rPr>
          <w:rFonts w:ascii="Calibri" w:hAnsi="Calibri" w:cs="Times New Roman"/>
          <w:sz w:val="24"/>
          <w:szCs w:val="24"/>
        </w:rPr>
        <w:t xml:space="preserve"> </w:t>
      </w:r>
      <w:r w:rsidR="002E23D9" w:rsidRPr="006730E3">
        <w:rPr>
          <w:rFonts w:ascii="Calibri" w:hAnsi="Calibri" w:cs="Times New Roman"/>
          <w:sz w:val="24"/>
          <w:szCs w:val="24"/>
        </w:rPr>
        <w:t>declara</w:t>
      </w:r>
      <w:r w:rsidR="00C43C83" w:rsidRPr="006730E3">
        <w:rPr>
          <w:rFonts w:ascii="Calibri" w:hAnsi="Calibri" w:cs="Times New Roman"/>
          <w:sz w:val="24"/>
          <w:szCs w:val="24"/>
        </w:rPr>
        <w:t>, en primer lugar,</w:t>
      </w:r>
      <w:r w:rsidR="00031CF1" w:rsidRPr="006730E3">
        <w:rPr>
          <w:rFonts w:ascii="Calibri" w:hAnsi="Calibri" w:cs="Times New Roman"/>
          <w:sz w:val="24"/>
          <w:szCs w:val="24"/>
        </w:rPr>
        <w:t xml:space="preserve"> inconstitucionales </w:t>
      </w:r>
      <w:r w:rsidR="002E23D9" w:rsidRPr="006730E3">
        <w:rPr>
          <w:rFonts w:ascii="Calibri" w:hAnsi="Calibri" w:cs="Times New Roman"/>
          <w:sz w:val="24"/>
          <w:szCs w:val="24"/>
        </w:rPr>
        <w:t xml:space="preserve">todos </w:t>
      </w:r>
      <w:r w:rsidR="00031CF1" w:rsidRPr="006730E3">
        <w:rPr>
          <w:rFonts w:ascii="Calibri" w:hAnsi="Calibri" w:cs="Times New Roman"/>
          <w:sz w:val="24"/>
          <w:szCs w:val="24"/>
        </w:rPr>
        <w:t xml:space="preserve">los preceptos reguladores de los posibles efectos civiles previstos en </w:t>
      </w:r>
      <w:r w:rsidR="00C43C83" w:rsidRPr="006730E3">
        <w:rPr>
          <w:rFonts w:ascii="Calibri" w:hAnsi="Calibri" w:cs="Times New Roman"/>
          <w:sz w:val="24"/>
          <w:szCs w:val="24"/>
        </w:rPr>
        <w:t>la</w:t>
      </w:r>
      <w:r w:rsidR="00031CF1" w:rsidRPr="006730E3">
        <w:rPr>
          <w:rFonts w:ascii="Calibri" w:hAnsi="Calibri" w:cs="Times New Roman"/>
          <w:sz w:val="24"/>
          <w:szCs w:val="24"/>
        </w:rPr>
        <w:t xml:space="preserve"> ley y</w:t>
      </w:r>
      <w:r w:rsidR="00C43C83" w:rsidRPr="006730E3">
        <w:rPr>
          <w:rFonts w:ascii="Calibri" w:hAnsi="Calibri" w:cs="Times New Roman"/>
          <w:sz w:val="24"/>
          <w:szCs w:val="24"/>
        </w:rPr>
        <w:t>, como consecuencia,</w:t>
      </w:r>
      <w:r w:rsidR="00031CF1" w:rsidRPr="006730E3">
        <w:rPr>
          <w:rFonts w:ascii="Calibri" w:hAnsi="Calibri" w:cs="Times New Roman"/>
          <w:sz w:val="24"/>
          <w:szCs w:val="24"/>
        </w:rPr>
        <w:t xml:space="preserve"> </w:t>
      </w:r>
      <w:r w:rsidR="00C43C83" w:rsidRPr="006730E3">
        <w:rPr>
          <w:rFonts w:ascii="Calibri" w:hAnsi="Calibri" w:cs="Times New Roman"/>
          <w:sz w:val="24"/>
          <w:szCs w:val="24"/>
        </w:rPr>
        <w:t>confirma</w:t>
      </w:r>
      <w:r w:rsidR="00031CF1" w:rsidRPr="006730E3">
        <w:rPr>
          <w:rFonts w:ascii="Calibri" w:hAnsi="Calibri" w:cs="Times New Roman"/>
          <w:sz w:val="24"/>
          <w:szCs w:val="24"/>
        </w:rPr>
        <w:t xml:space="preserve"> </w:t>
      </w:r>
      <w:r w:rsidR="00C43C83" w:rsidRPr="006730E3">
        <w:rPr>
          <w:rFonts w:ascii="Calibri" w:hAnsi="Calibri" w:cs="Times New Roman"/>
          <w:sz w:val="24"/>
          <w:szCs w:val="24"/>
        </w:rPr>
        <w:t xml:space="preserve">después </w:t>
      </w:r>
      <w:r w:rsidR="00031CF1" w:rsidRPr="006730E3">
        <w:rPr>
          <w:rFonts w:ascii="Calibri" w:hAnsi="Calibri" w:cs="Times New Roman"/>
          <w:sz w:val="24"/>
          <w:szCs w:val="24"/>
        </w:rPr>
        <w:t>la constitucionalidad de las restantes previsiones</w:t>
      </w:r>
      <w:r w:rsidR="002E23D9" w:rsidRPr="006730E3">
        <w:rPr>
          <w:rFonts w:ascii="Calibri" w:hAnsi="Calibri" w:cs="Times New Roman"/>
          <w:sz w:val="24"/>
          <w:szCs w:val="24"/>
        </w:rPr>
        <w:t xml:space="preserve"> al mantenerse en el ámbito de </w:t>
      </w:r>
      <w:r w:rsidR="00C43C83" w:rsidRPr="006730E3">
        <w:rPr>
          <w:rFonts w:ascii="Calibri" w:hAnsi="Calibri" w:cs="Times New Roman"/>
          <w:sz w:val="24"/>
          <w:szCs w:val="24"/>
        </w:rPr>
        <w:t>las</w:t>
      </w:r>
      <w:r w:rsidR="002E23D9" w:rsidRPr="006730E3">
        <w:rPr>
          <w:rFonts w:ascii="Calibri" w:hAnsi="Calibri" w:cs="Times New Roman"/>
          <w:sz w:val="24"/>
          <w:szCs w:val="24"/>
        </w:rPr>
        <w:t xml:space="preserve"> estrictas competencias</w:t>
      </w:r>
      <w:r w:rsidR="00C43C83" w:rsidRPr="006730E3">
        <w:rPr>
          <w:rFonts w:ascii="Calibri" w:hAnsi="Calibri" w:cs="Times New Roman"/>
          <w:sz w:val="24"/>
          <w:szCs w:val="24"/>
        </w:rPr>
        <w:t xml:space="preserve"> de la Comunidad</w:t>
      </w:r>
      <w:r w:rsidR="002E23D9" w:rsidRPr="006730E3">
        <w:rPr>
          <w:rFonts w:ascii="Calibri" w:hAnsi="Calibri" w:cs="Times New Roman"/>
          <w:sz w:val="24"/>
          <w:szCs w:val="24"/>
        </w:rPr>
        <w:t>.</w:t>
      </w:r>
      <w:r w:rsidRPr="006730E3">
        <w:rPr>
          <w:rFonts w:ascii="Calibri" w:hAnsi="Calibri" w:cs="Times New Roman"/>
          <w:sz w:val="24"/>
          <w:szCs w:val="24"/>
        </w:rPr>
        <w:t xml:space="preserve"> </w:t>
      </w:r>
    </w:p>
    <w:p w:rsidR="00031CF1" w:rsidRPr="006730E3" w:rsidRDefault="00111F1A"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En cualquier caso,</w:t>
      </w:r>
      <w:r w:rsidR="007C2E5B" w:rsidRPr="006730E3">
        <w:rPr>
          <w:rFonts w:ascii="Calibri" w:hAnsi="Calibri" w:cs="Times New Roman"/>
          <w:sz w:val="24"/>
          <w:szCs w:val="24"/>
        </w:rPr>
        <w:t xml:space="preserve"> los dos supuestos no son iguales. En </w:t>
      </w:r>
      <w:r w:rsidRPr="006730E3">
        <w:rPr>
          <w:rFonts w:ascii="Calibri" w:hAnsi="Calibri" w:cs="Times New Roman"/>
          <w:sz w:val="24"/>
          <w:szCs w:val="24"/>
        </w:rPr>
        <w:t>lo que afecta a</w:t>
      </w:r>
      <w:r w:rsidR="007C2E5B" w:rsidRPr="006730E3">
        <w:rPr>
          <w:rFonts w:ascii="Calibri" w:hAnsi="Calibri" w:cs="Times New Roman"/>
          <w:sz w:val="24"/>
          <w:szCs w:val="24"/>
        </w:rPr>
        <w:t xml:space="preserve"> Madrid, no sólo hay que tener en cuenta que dicha Comunidad </w:t>
      </w:r>
      <w:r w:rsidRPr="006730E3">
        <w:rPr>
          <w:rFonts w:ascii="Calibri" w:hAnsi="Calibri" w:cs="Times New Roman"/>
          <w:sz w:val="24"/>
          <w:szCs w:val="24"/>
        </w:rPr>
        <w:t xml:space="preserve">no tiene competencias </w:t>
      </w:r>
      <w:r w:rsidR="007C2E5B" w:rsidRPr="006730E3">
        <w:rPr>
          <w:rFonts w:ascii="Calibri" w:hAnsi="Calibri" w:cs="Times New Roman"/>
          <w:sz w:val="24"/>
          <w:szCs w:val="24"/>
        </w:rPr>
        <w:t>para conservar, modificar y desarrollar derecho civil alguno</w:t>
      </w:r>
      <w:r w:rsidR="00475360" w:rsidRPr="006730E3">
        <w:rPr>
          <w:rFonts w:ascii="Calibri" w:hAnsi="Calibri" w:cs="Times New Roman"/>
          <w:sz w:val="24"/>
          <w:szCs w:val="24"/>
        </w:rPr>
        <w:t>,</w:t>
      </w:r>
      <w:r w:rsidR="007C2E5B" w:rsidRPr="006730E3">
        <w:rPr>
          <w:rFonts w:ascii="Calibri" w:hAnsi="Calibri" w:cs="Times New Roman"/>
          <w:sz w:val="24"/>
          <w:szCs w:val="24"/>
        </w:rPr>
        <w:t xml:space="preserve"> a diferencia de Navarra, sino </w:t>
      </w:r>
      <w:r w:rsidR="00475360" w:rsidRPr="006730E3">
        <w:rPr>
          <w:rFonts w:ascii="Calibri" w:hAnsi="Calibri" w:cs="Times New Roman"/>
          <w:sz w:val="24"/>
          <w:szCs w:val="24"/>
        </w:rPr>
        <w:t xml:space="preserve">que </w:t>
      </w:r>
      <w:r w:rsidR="007C2E5B" w:rsidRPr="006730E3">
        <w:rPr>
          <w:rFonts w:ascii="Calibri" w:hAnsi="Calibri" w:cs="Times New Roman"/>
          <w:sz w:val="24"/>
          <w:szCs w:val="24"/>
        </w:rPr>
        <w:t xml:space="preserve">también </w:t>
      </w:r>
      <w:r w:rsidR="00475360" w:rsidRPr="006730E3">
        <w:rPr>
          <w:rFonts w:ascii="Calibri" w:hAnsi="Calibri" w:cs="Times New Roman"/>
          <w:sz w:val="24"/>
          <w:szCs w:val="24"/>
        </w:rPr>
        <w:t xml:space="preserve">es necesario </w:t>
      </w:r>
      <w:r w:rsidR="007C2E5B" w:rsidRPr="006730E3">
        <w:rPr>
          <w:rFonts w:ascii="Calibri" w:hAnsi="Calibri" w:cs="Times New Roman"/>
          <w:sz w:val="24"/>
          <w:szCs w:val="24"/>
        </w:rPr>
        <w:t>poner de manifiesto que el TC anul</w:t>
      </w:r>
      <w:r w:rsidRPr="006730E3">
        <w:rPr>
          <w:rFonts w:ascii="Calibri" w:hAnsi="Calibri" w:cs="Times New Roman"/>
          <w:sz w:val="24"/>
          <w:szCs w:val="24"/>
        </w:rPr>
        <w:t>ó absolutamente todas las previsiones sobre los efectos civil</w:t>
      </w:r>
      <w:r w:rsidR="00C43C83" w:rsidRPr="006730E3">
        <w:rPr>
          <w:rFonts w:ascii="Calibri" w:hAnsi="Calibri" w:cs="Times New Roman"/>
          <w:sz w:val="24"/>
          <w:szCs w:val="24"/>
        </w:rPr>
        <w:t>es de la pareja. E</w:t>
      </w:r>
      <w:r w:rsidRPr="006730E3">
        <w:rPr>
          <w:rFonts w:ascii="Calibri" w:hAnsi="Calibri" w:cs="Times New Roman"/>
          <w:sz w:val="24"/>
          <w:szCs w:val="24"/>
        </w:rPr>
        <w:t xml:space="preserve">n el caso </w:t>
      </w:r>
      <w:r w:rsidR="00C43C83" w:rsidRPr="006730E3">
        <w:rPr>
          <w:rFonts w:ascii="Calibri" w:hAnsi="Calibri" w:cs="Times New Roman"/>
          <w:sz w:val="24"/>
          <w:szCs w:val="24"/>
        </w:rPr>
        <w:t>navarro, al contrario,</w:t>
      </w:r>
      <w:r w:rsidRPr="006730E3">
        <w:rPr>
          <w:rFonts w:ascii="Calibri" w:hAnsi="Calibri" w:cs="Times New Roman"/>
          <w:sz w:val="24"/>
          <w:szCs w:val="24"/>
        </w:rPr>
        <w:t xml:space="preserve"> sí se mantiene una previsión atiente a los efectos civiles de la pareja</w:t>
      </w:r>
      <w:r w:rsidR="00C43C83" w:rsidRPr="006730E3">
        <w:rPr>
          <w:rFonts w:ascii="Calibri" w:hAnsi="Calibri" w:cs="Times New Roman"/>
          <w:sz w:val="24"/>
          <w:szCs w:val="24"/>
        </w:rPr>
        <w:t xml:space="preserve"> de acuerdo con su criterio según el cual las parejas son las únicas que pueden regular los efectos de su relación. Se trata del</w:t>
      </w:r>
      <w:r w:rsidRPr="006730E3">
        <w:rPr>
          <w:rFonts w:ascii="Calibri" w:hAnsi="Calibri" w:cs="Times New Roman"/>
          <w:sz w:val="24"/>
          <w:szCs w:val="24"/>
        </w:rPr>
        <w:t xml:space="preserve"> art. 5.1 </w:t>
      </w:r>
      <w:r w:rsidR="00EE0077" w:rsidRPr="006730E3">
        <w:rPr>
          <w:rFonts w:ascii="Calibri" w:hAnsi="Calibri" w:cs="Times New Roman"/>
          <w:sz w:val="24"/>
          <w:szCs w:val="24"/>
        </w:rPr>
        <w:t>LN</w:t>
      </w:r>
      <w:r w:rsidR="006F0929" w:rsidRPr="006730E3">
        <w:rPr>
          <w:rStyle w:val="Refdenotaalpie"/>
          <w:rFonts w:ascii="Calibri" w:hAnsi="Calibri" w:cs="Times New Roman"/>
          <w:sz w:val="24"/>
          <w:szCs w:val="24"/>
        </w:rPr>
        <w:footnoteReference w:id="75"/>
      </w:r>
      <w:r w:rsidR="00EE0077" w:rsidRPr="006730E3">
        <w:rPr>
          <w:rFonts w:ascii="Calibri" w:hAnsi="Calibri" w:cs="Times New Roman"/>
          <w:sz w:val="24"/>
          <w:szCs w:val="24"/>
        </w:rPr>
        <w:t xml:space="preserve"> en la parte que afirma que</w:t>
      </w:r>
      <w:r w:rsidRPr="006730E3">
        <w:rPr>
          <w:rFonts w:ascii="Calibri" w:hAnsi="Calibri" w:cs="Times New Roman"/>
          <w:sz w:val="24"/>
          <w:szCs w:val="24"/>
        </w:rPr>
        <w:t xml:space="preserve"> los miembros de la pareja </w:t>
      </w:r>
      <w:r w:rsidRPr="006730E3">
        <w:rPr>
          <w:rFonts w:ascii="Calibri" w:hAnsi="Calibri" w:cs="Times New Roman"/>
          <w:sz w:val="24"/>
          <w:szCs w:val="24"/>
          <w:shd w:val="clear" w:color="auto" w:fill="FFFFFF"/>
        </w:rPr>
        <w:t>pueden regular válidamente las relaciones personales y patrimoniales derivadas de la convivencia (incluidas las compensaciones económicas que convengan para el caso de disolución de la pareja), mediante documento público o privado, con indicación de sus respectivos derechos y deberes. Así las cosas, el TC</w:t>
      </w:r>
      <w:r w:rsidR="00354FEF" w:rsidRPr="006730E3">
        <w:rPr>
          <w:rFonts w:ascii="Calibri" w:hAnsi="Calibri" w:cs="Times New Roman"/>
          <w:sz w:val="24"/>
          <w:szCs w:val="24"/>
          <w:shd w:val="clear" w:color="auto" w:fill="FFFFFF"/>
        </w:rPr>
        <w:t xml:space="preserve">, abstrayéndose de aplicar el dúctil canon de la </w:t>
      </w:r>
      <w:r w:rsidR="00354FEF" w:rsidRPr="006730E3">
        <w:rPr>
          <w:rFonts w:ascii="Calibri" w:hAnsi="Calibri" w:cs="Times New Roman"/>
          <w:sz w:val="24"/>
          <w:szCs w:val="24"/>
        </w:rPr>
        <w:t>«conexión suficiente»</w:t>
      </w:r>
      <w:r w:rsidR="00354FEF" w:rsidRPr="006730E3">
        <w:rPr>
          <w:rStyle w:val="Refdenotaalpie"/>
          <w:rFonts w:ascii="Calibri" w:hAnsi="Calibri" w:cs="Times New Roman"/>
          <w:sz w:val="24"/>
          <w:szCs w:val="24"/>
        </w:rPr>
        <w:footnoteReference w:id="76"/>
      </w:r>
      <w:r w:rsidR="00354FEF" w:rsidRPr="006730E3">
        <w:rPr>
          <w:rFonts w:ascii="Calibri" w:hAnsi="Calibri" w:cs="Times New Roman"/>
          <w:sz w:val="24"/>
          <w:szCs w:val="24"/>
          <w:shd w:val="clear" w:color="auto" w:fill="FFFFFF"/>
        </w:rPr>
        <w:t>,</w:t>
      </w:r>
      <w:r w:rsidR="006F0929" w:rsidRPr="006730E3">
        <w:rPr>
          <w:rFonts w:ascii="Calibri" w:hAnsi="Calibri" w:cs="Times New Roman"/>
          <w:sz w:val="24"/>
          <w:szCs w:val="24"/>
          <w:shd w:val="clear" w:color="auto" w:fill="FFFFFF"/>
        </w:rPr>
        <w:t xml:space="preserve"> </w:t>
      </w:r>
      <w:r w:rsidRPr="006730E3">
        <w:rPr>
          <w:rFonts w:ascii="Calibri" w:hAnsi="Calibri" w:cs="Times New Roman"/>
          <w:sz w:val="24"/>
          <w:szCs w:val="24"/>
          <w:shd w:val="clear" w:color="auto" w:fill="FFFFFF"/>
        </w:rPr>
        <w:t xml:space="preserve">viene a reconocer </w:t>
      </w:r>
      <w:r w:rsidR="00290D8D" w:rsidRPr="006730E3">
        <w:rPr>
          <w:rFonts w:ascii="Calibri" w:hAnsi="Calibri" w:cs="Times New Roman"/>
          <w:sz w:val="24"/>
          <w:szCs w:val="24"/>
          <w:shd w:val="clear" w:color="auto" w:fill="FFFFFF"/>
        </w:rPr>
        <w:t>implícitamente</w:t>
      </w:r>
      <w:r w:rsidRPr="006730E3">
        <w:rPr>
          <w:rFonts w:ascii="Calibri" w:hAnsi="Calibri" w:cs="Times New Roman"/>
          <w:sz w:val="24"/>
          <w:szCs w:val="24"/>
          <w:shd w:val="clear" w:color="auto" w:fill="FFFFFF"/>
        </w:rPr>
        <w:t xml:space="preserve"> que Navarra sí puede regular las parejas no casadas en el ámbito de sus competencias para </w:t>
      </w:r>
      <w:r w:rsidRPr="006730E3">
        <w:rPr>
          <w:rFonts w:ascii="Calibri" w:hAnsi="Calibri" w:cs="Times New Roman"/>
          <w:sz w:val="24"/>
          <w:szCs w:val="24"/>
        </w:rPr>
        <w:t>conservar, modificar y desarrollar su derecho civil</w:t>
      </w:r>
      <w:r w:rsidR="00814FF6" w:rsidRPr="006730E3">
        <w:rPr>
          <w:rFonts w:ascii="Calibri" w:hAnsi="Calibri" w:cs="Times New Roman"/>
          <w:sz w:val="24"/>
          <w:szCs w:val="24"/>
        </w:rPr>
        <w:t>;</w:t>
      </w:r>
      <w:r w:rsidR="00AB2EA7" w:rsidRPr="006730E3">
        <w:rPr>
          <w:rFonts w:ascii="Calibri" w:hAnsi="Calibri" w:cs="Times New Roman"/>
          <w:sz w:val="24"/>
          <w:szCs w:val="24"/>
        </w:rPr>
        <w:t xml:space="preserve"> por lo que la </w:t>
      </w:r>
      <w:r w:rsidR="00814FF6" w:rsidRPr="006730E3">
        <w:rPr>
          <w:rFonts w:ascii="Calibri" w:hAnsi="Calibri" w:cs="Times New Roman"/>
          <w:sz w:val="24"/>
          <w:szCs w:val="24"/>
        </w:rPr>
        <w:t xml:space="preserve">trascendencia de esta ley no queda </w:t>
      </w:r>
      <w:r w:rsidR="00EE0077" w:rsidRPr="006730E3">
        <w:rPr>
          <w:rFonts w:ascii="Calibri" w:hAnsi="Calibri" w:cs="Times New Roman"/>
          <w:sz w:val="24"/>
          <w:szCs w:val="24"/>
        </w:rPr>
        <w:t>circunscrita</w:t>
      </w:r>
      <w:r w:rsidR="00814FF6" w:rsidRPr="006730E3">
        <w:rPr>
          <w:rFonts w:ascii="Calibri" w:hAnsi="Calibri" w:cs="Times New Roman"/>
          <w:sz w:val="24"/>
          <w:szCs w:val="24"/>
        </w:rPr>
        <w:t xml:space="preserve"> al ámbito del Derecho público</w:t>
      </w:r>
      <w:r w:rsidRPr="006730E3">
        <w:rPr>
          <w:rFonts w:ascii="Calibri" w:hAnsi="Calibri" w:cs="Times New Roman"/>
          <w:sz w:val="24"/>
          <w:szCs w:val="24"/>
        </w:rPr>
        <w:t xml:space="preserve">. </w:t>
      </w:r>
      <w:r w:rsidR="00290D8D" w:rsidRPr="006730E3">
        <w:rPr>
          <w:rFonts w:ascii="Calibri" w:hAnsi="Calibri" w:cs="Times New Roman"/>
          <w:sz w:val="24"/>
          <w:szCs w:val="24"/>
        </w:rPr>
        <w:t>Téngase en cuenta que,</w:t>
      </w:r>
      <w:r w:rsidRPr="006730E3">
        <w:rPr>
          <w:rFonts w:ascii="Calibri" w:hAnsi="Calibri" w:cs="Times New Roman"/>
          <w:sz w:val="24"/>
          <w:szCs w:val="24"/>
        </w:rPr>
        <w:t xml:space="preserve"> aunque los recurrentes no </w:t>
      </w:r>
      <w:r w:rsidR="00290D8D" w:rsidRPr="006730E3">
        <w:rPr>
          <w:rFonts w:ascii="Calibri" w:hAnsi="Calibri" w:cs="Times New Roman"/>
          <w:sz w:val="24"/>
          <w:szCs w:val="24"/>
        </w:rPr>
        <w:t>hayan</w:t>
      </w:r>
      <w:r w:rsidRPr="006730E3">
        <w:rPr>
          <w:rFonts w:ascii="Calibri" w:hAnsi="Calibri" w:cs="Times New Roman"/>
          <w:sz w:val="24"/>
          <w:szCs w:val="24"/>
        </w:rPr>
        <w:t xml:space="preserve"> planteado</w:t>
      </w:r>
      <w:r w:rsidR="0081637D" w:rsidRPr="006730E3">
        <w:rPr>
          <w:rFonts w:ascii="Calibri" w:hAnsi="Calibri" w:cs="Times New Roman"/>
          <w:sz w:val="24"/>
          <w:szCs w:val="24"/>
        </w:rPr>
        <w:t xml:space="preserve"> la vulneración del art. 149.1.8ª CE y la competencia exclusiva del Estado en materia civil sin perjuicio de la </w:t>
      </w:r>
      <w:r w:rsidR="00290D8D" w:rsidRPr="006730E3">
        <w:rPr>
          <w:rFonts w:ascii="Calibri" w:hAnsi="Calibri" w:cs="Times New Roman"/>
          <w:sz w:val="24"/>
          <w:szCs w:val="24"/>
          <w:shd w:val="clear" w:color="auto" w:fill="FFFFFF"/>
        </w:rPr>
        <w:t>conservación, modificación y desarrollo por las Comunidades Autónomas de los derechos civiles, forales o especiales, allí donde existan</w:t>
      </w:r>
      <w:r w:rsidRPr="006730E3">
        <w:rPr>
          <w:rFonts w:ascii="Calibri" w:hAnsi="Calibri" w:cs="Times New Roman"/>
          <w:sz w:val="24"/>
          <w:szCs w:val="24"/>
        </w:rPr>
        <w:t xml:space="preserve">, </w:t>
      </w:r>
      <w:r w:rsidR="00814FF6" w:rsidRPr="006730E3">
        <w:rPr>
          <w:rFonts w:ascii="Calibri" w:hAnsi="Calibri" w:cs="Times New Roman"/>
          <w:sz w:val="24"/>
          <w:szCs w:val="24"/>
        </w:rPr>
        <w:t xml:space="preserve">el TC </w:t>
      </w:r>
      <w:r w:rsidR="0081637D" w:rsidRPr="006730E3">
        <w:rPr>
          <w:rFonts w:ascii="Calibri" w:hAnsi="Calibri" w:cs="Times New Roman"/>
          <w:sz w:val="24"/>
          <w:szCs w:val="24"/>
        </w:rPr>
        <w:t>podría</w:t>
      </w:r>
      <w:r w:rsidRPr="006730E3">
        <w:rPr>
          <w:rFonts w:ascii="Calibri" w:hAnsi="Calibri" w:cs="Times New Roman"/>
          <w:sz w:val="24"/>
          <w:szCs w:val="24"/>
        </w:rPr>
        <w:t xml:space="preserve"> </w:t>
      </w:r>
      <w:r w:rsidR="0081637D" w:rsidRPr="006730E3">
        <w:rPr>
          <w:rFonts w:ascii="Calibri" w:hAnsi="Calibri" w:cs="Times New Roman"/>
          <w:sz w:val="24"/>
          <w:szCs w:val="24"/>
        </w:rPr>
        <w:t>haber</w:t>
      </w:r>
      <w:r w:rsidRPr="006730E3">
        <w:rPr>
          <w:rFonts w:ascii="Calibri" w:hAnsi="Calibri" w:cs="Times New Roman"/>
          <w:sz w:val="24"/>
          <w:szCs w:val="24"/>
        </w:rPr>
        <w:t xml:space="preserve"> declarado </w:t>
      </w:r>
      <w:r w:rsidR="00814FF6" w:rsidRPr="006730E3">
        <w:rPr>
          <w:rFonts w:ascii="Calibri" w:hAnsi="Calibri" w:cs="Times New Roman"/>
          <w:sz w:val="24"/>
          <w:szCs w:val="24"/>
        </w:rPr>
        <w:t xml:space="preserve">la inconstitucionalidad de </w:t>
      </w:r>
      <w:r w:rsidR="0081637D" w:rsidRPr="006730E3">
        <w:rPr>
          <w:rFonts w:ascii="Calibri" w:hAnsi="Calibri" w:cs="Times New Roman"/>
          <w:sz w:val="24"/>
          <w:szCs w:val="24"/>
        </w:rPr>
        <w:t>aquella</w:t>
      </w:r>
      <w:r w:rsidRPr="006730E3">
        <w:rPr>
          <w:rFonts w:ascii="Calibri" w:hAnsi="Calibri" w:cs="Times New Roman"/>
          <w:sz w:val="24"/>
          <w:szCs w:val="24"/>
        </w:rPr>
        <w:t xml:space="preserve"> previsión </w:t>
      </w:r>
      <w:r w:rsidR="0081637D" w:rsidRPr="006730E3">
        <w:rPr>
          <w:rFonts w:ascii="Calibri" w:hAnsi="Calibri" w:cs="Times New Roman"/>
          <w:sz w:val="24"/>
          <w:szCs w:val="24"/>
        </w:rPr>
        <w:t xml:space="preserve">(art. 5.1 LN) </w:t>
      </w:r>
      <w:r w:rsidR="00814FF6" w:rsidRPr="006730E3">
        <w:rPr>
          <w:rFonts w:ascii="Calibri" w:hAnsi="Calibri" w:cs="Times New Roman"/>
          <w:sz w:val="24"/>
          <w:szCs w:val="24"/>
        </w:rPr>
        <w:t xml:space="preserve">conforme al art. 39.2 de la Ley Orgánica del Tribunal Constitucional, según el cual, dicha declaración </w:t>
      </w:r>
      <w:r w:rsidR="00FB0A6B" w:rsidRPr="006730E3">
        <w:rPr>
          <w:rFonts w:ascii="Calibri" w:hAnsi="Calibri" w:cs="Times New Roman"/>
          <w:sz w:val="24"/>
          <w:szCs w:val="24"/>
        </w:rPr>
        <w:t xml:space="preserve">se puede fundar </w:t>
      </w:r>
      <w:r w:rsidR="00814FF6" w:rsidRPr="006730E3">
        <w:rPr>
          <w:rFonts w:ascii="Calibri" w:hAnsi="Calibri" w:cs="Times New Roman"/>
          <w:sz w:val="24"/>
          <w:szCs w:val="24"/>
          <w:shd w:val="clear" w:color="auto" w:fill="FFFFFF"/>
        </w:rPr>
        <w:t>«en la infracción de cualquier precepto constitucional, haya o no sido invocado en el curso del proceso</w:t>
      </w:r>
      <w:r w:rsidR="00FB0A6B" w:rsidRPr="006730E3">
        <w:rPr>
          <w:rFonts w:ascii="Calibri" w:hAnsi="Calibri" w:cs="Times New Roman"/>
          <w:sz w:val="24"/>
          <w:szCs w:val="24"/>
          <w:shd w:val="clear" w:color="auto" w:fill="FFFFFF"/>
        </w:rPr>
        <w:t>»</w:t>
      </w:r>
      <w:r w:rsidR="0081637D" w:rsidRPr="006730E3">
        <w:rPr>
          <w:rStyle w:val="Refdenotaalpie"/>
          <w:rFonts w:ascii="Calibri" w:hAnsi="Calibri" w:cs="Times New Roman"/>
          <w:sz w:val="24"/>
          <w:szCs w:val="24"/>
          <w:shd w:val="clear" w:color="auto" w:fill="FFFFFF"/>
        </w:rPr>
        <w:footnoteReference w:id="77"/>
      </w:r>
      <w:r w:rsidR="00814FF6" w:rsidRPr="006730E3">
        <w:rPr>
          <w:rFonts w:ascii="Calibri" w:hAnsi="Calibri" w:cs="Times New Roman"/>
          <w:sz w:val="24"/>
          <w:szCs w:val="24"/>
          <w:shd w:val="clear" w:color="auto" w:fill="FFFFFF"/>
        </w:rPr>
        <w:t>.</w:t>
      </w:r>
      <w:r w:rsidR="00FB0A6B" w:rsidRPr="006730E3">
        <w:rPr>
          <w:rFonts w:ascii="Calibri" w:hAnsi="Calibri" w:cs="Times New Roman"/>
          <w:sz w:val="24"/>
          <w:szCs w:val="24"/>
          <w:shd w:val="clear" w:color="auto" w:fill="FFFFFF"/>
        </w:rPr>
        <w:t xml:space="preserve"> </w:t>
      </w:r>
    </w:p>
    <w:p w:rsidR="00D67D92" w:rsidRPr="006730E3" w:rsidRDefault="00D67D92" w:rsidP="00416B3A">
      <w:pPr>
        <w:spacing w:line="312" w:lineRule="auto"/>
        <w:jc w:val="both"/>
        <w:rPr>
          <w:rFonts w:ascii="Calibri" w:hAnsi="Calibri" w:cs="Times New Roman"/>
          <w:sz w:val="24"/>
          <w:szCs w:val="24"/>
        </w:rPr>
      </w:pPr>
    </w:p>
    <w:p w:rsidR="001A6CD2" w:rsidRPr="00A81597" w:rsidRDefault="00C21CFB" w:rsidP="00416B3A">
      <w:pPr>
        <w:spacing w:line="312" w:lineRule="auto"/>
        <w:jc w:val="both"/>
        <w:rPr>
          <w:rFonts w:ascii="Calibri" w:hAnsi="Calibri" w:cs="Times New Roman"/>
          <w:sz w:val="24"/>
          <w:szCs w:val="24"/>
        </w:rPr>
      </w:pPr>
      <w:r w:rsidRPr="00A81597">
        <w:rPr>
          <w:rFonts w:ascii="Calibri" w:hAnsi="Calibri" w:cs="Times New Roman"/>
          <w:sz w:val="24"/>
          <w:szCs w:val="24"/>
        </w:rPr>
        <w:t xml:space="preserve">2.2. </w:t>
      </w:r>
      <w:r w:rsidRPr="00A81597">
        <w:rPr>
          <w:rFonts w:ascii="Calibri" w:hAnsi="Calibri" w:cs="Times New Roman"/>
          <w:i/>
          <w:sz w:val="24"/>
          <w:szCs w:val="24"/>
        </w:rPr>
        <w:t xml:space="preserve">Mecanismos de la </w:t>
      </w:r>
      <w:r w:rsidR="00686588" w:rsidRPr="00A81597">
        <w:rPr>
          <w:rFonts w:ascii="Calibri" w:hAnsi="Calibri" w:cs="Times New Roman"/>
          <w:i/>
          <w:sz w:val="24"/>
          <w:szCs w:val="24"/>
        </w:rPr>
        <w:t>regulación</w:t>
      </w:r>
      <w:r w:rsidRPr="00A81597">
        <w:rPr>
          <w:rFonts w:ascii="Calibri" w:hAnsi="Calibri" w:cs="Times New Roman"/>
          <w:i/>
          <w:sz w:val="24"/>
          <w:szCs w:val="24"/>
        </w:rPr>
        <w:t xml:space="preserve"> gallega para respetar la </w:t>
      </w:r>
      <w:r w:rsidR="00686588" w:rsidRPr="00A81597">
        <w:rPr>
          <w:rFonts w:ascii="Calibri" w:hAnsi="Calibri" w:cs="Times New Roman"/>
          <w:i/>
          <w:sz w:val="24"/>
          <w:szCs w:val="24"/>
        </w:rPr>
        <w:t>voluntad</w:t>
      </w:r>
      <w:r w:rsidR="00A81597">
        <w:rPr>
          <w:rFonts w:ascii="Calibri" w:hAnsi="Calibri" w:cs="Times New Roman"/>
          <w:i/>
          <w:sz w:val="24"/>
          <w:szCs w:val="24"/>
        </w:rPr>
        <w:t xml:space="preserve"> de la pareja</w:t>
      </w:r>
    </w:p>
    <w:p w:rsidR="00AA1370" w:rsidRPr="00A81597" w:rsidRDefault="00686588" w:rsidP="00416B3A">
      <w:pPr>
        <w:spacing w:line="312" w:lineRule="auto"/>
        <w:jc w:val="both"/>
        <w:rPr>
          <w:rFonts w:ascii="Calibri" w:hAnsi="Calibri" w:cs="Times New Roman"/>
          <w:sz w:val="24"/>
          <w:szCs w:val="24"/>
        </w:rPr>
      </w:pPr>
      <w:r w:rsidRPr="00A81597">
        <w:rPr>
          <w:rFonts w:ascii="Calibri" w:hAnsi="Calibri" w:cs="Times New Roman"/>
          <w:sz w:val="24"/>
          <w:szCs w:val="24"/>
        </w:rPr>
        <w:t>2.2.1. L</w:t>
      </w:r>
      <w:r w:rsidR="00AA1370" w:rsidRPr="00A81597">
        <w:rPr>
          <w:rFonts w:ascii="Calibri" w:hAnsi="Calibri" w:cs="Times New Roman"/>
          <w:sz w:val="24"/>
          <w:szCs w:val="24"/>
        </w:rPr>
        <w:t xml:space="preserve">a </w:t>
      </w:r>
      <w:r w:rsidRPr="00A81597">
        <w:rPr>
          <w:rFonts w:ascii="Calibri" w:hAnsi="Calibri" w:cs="Times New Roman"/>
          <w:sz w:val="24"/>
          <w:szCs w:val="24"/>
        </w:rPr>
        <w:t>finalidad última de la reforma de 2007</w:t>
      </w:r>
    </w:p>
    <w:p w:rsidR="00D74946" w:rsidRPr="006730E3" w:rsidRDefault="001A6CD2" w:rsidP="00416B3A">
      <w:pPr>
        <w:spacing w:line="312" w:lineRule="auto"/>
        <w:jc w:val="both"/>
        <w:rPr>
          <w:rFonts w:ascii="Calibri" w:hAnsi="Calibri" w:cs="Times New Roman"/>
          <w:sz w:val="24"/>
          <w:szCs w:val="24"/>
        </w:rPr>
      </w:pPr>
      <w:r w:rsidRPr="006730E3">
        <w:rPr>
          <w:rFonts w:ascii="Calibri" w:hAnsi="Calibri" w:cs="Times New Roman"/>
          <w:sz w:val="24"/>
          <w:szCs w:val="24"/>
        </w:rPr>
        <w:t>La extensión</w:t>
      </w:r>
      <w:r w:rsidR="00D066A5" w:rsidRPr="006730E3">
        <w:rPr>
          <w:rFonts w:ascii="Calibri" w:hAnsi="Calibri" w:cs="Times New Roman"/>
          <w:sz w:val="24"/>
          <w:szCs w:val="24"/>
        </w:rPr>
        <w:t xml:space="preserve"> a la pareja que reúna los requisitos de la DAT</w:t>
      </w:r>
      <w:r w:rsidRPr="006730E3">
        <w:rPr>
          <w:rFonts w:ascii="Calibri" w:hAnsi="Calibri" w:cs="Times New Roman"/>
          <w:sz w:val="24"/>
          <w:szCs w:val="24"/>
        </w:rPr>
        <w:t xml:space="preserve"> de los derechos y obligaciones</w:t>
      </w:r>
      <w:r w:rsidR="00D066A5" w:rsidRPr="006730E3">
        <w:rPr>
          <w:rFonts w:ascii="Calibri" w:hAnsi="Calibri" w:cs="Times New Roman"/>
          <w:sz w:val="24"/>
          <w:szCs w:val="24"/>
        </w:rPr>
        <w:t xml:space="preserve"> de los cónyuges previstos </w:t>
      </w:r>
      <w:r w:rsidR="00EC1382" w:rsidRPr="006730E3">
        <w:rPr>
          <w:rFonts w:ascii="Calibri" w:hAnsi="Calibri" w:cs="Times New Roman"/>
          <w:sz w:val="24"/>
          <w:szCs w:val="24"/>
        </w:rPr>
        <w:t>en</w:t>
      </w:r>
      <w:r w:rsidRPr="006730E3">
        <w:rPr>
          <w:rFonts w:ascii="Calibri" w:hAnsi="Calibri" w:cs="Times New Roman"/>
          <w:sz w:val="24"/>
          <w:szCs w:val="24"/>
        </w:rPr>
        <w:t xml:space="preserve"> la LDCG y, en consecuencia, </w:t>
      </w:r>
      <w:r w:rsidR="003226AF" w:rsidRPr="006730E3">
        <w:rPr>
          <w:rFonts w:ascii="Calibri" w:hAnsi="Calibri" w:cs="Times New Roman"/>
          <w:sz w:val="24"/>
          <w:szCs w:val="24"/>
        </w:rPr>
        <w:t>su sujeción a</w:t>
      </w:r>
      <w:r w:rsidR="00C21CFB" w:rsidRPr="006730E3">
        <w:rPr>
          <w:rFonts w:ascii="Calibri" w:hAnsi="Calibri" w:cs="Times New Roman"/>
          <w:sz w:val="24"/>
          <w:szCs w:val="24"/>
        </w:rPr>
        <w:t xml:space="preserve"> la sociedad</w:t>
      </w:r>
      <w:r w:rsidR="002B2F4F" w:rsidRPr="006730E3">
        <w:rPr>
          <w:rFonts w:ascii="Calibri" w:hAnsi="Calibri" w:cs="Times New Roman"/>
          <w:sz w:val="24"/>
          <w:szCs w:val="24"/>
        </w:rPr>
        <w:t xml:space="preserve"> de gananciales </w:t>
      </w:r>
      <w:r w:rsidR="008E3E90" w:rsidRPr="006730E3">
        <w:rPr>
          <w:rFonts w:ascii="Calibri" w:hAnsi="Calibri" w:cs="Times New Roman"/>
          <w:sz w:val="24"/>
          <w:szCs w:val="24"/>
        </w:rPr>
        <w:t>en ausencia de pacto</w:t>
      </w:r>
      <w:r w:rsidR="00D74946" w:rsidRPr="006730E3">
        <w:rPr>
          <w:rFonts w:ascii="Calibri" w:hAnsi="Calibri" w:cs="Times New Roman"/>
          <w:sz w:val="24"/>
          <w:szCs w:val="24"/>
        </w:rPr>
        <w:t xml:space="preserve"> </w:t>
      </w:r>
      <w:r w:rsidR="002B2F4F" w:rsidRPr="006730E3">
        <w:rPr>
          <w:rFonts w:ascii="Calibri" w:hAnsi="Calibri" w:cs="Times New Roman"/>
          <w:sz w:val="24"/>
          <w:szCs w:val="24"/>
        </w:rPr>
        <w:t xml:space="preserve">es, como acabamos de explicar, perfectamente respetuosa con la </w:t>
      </w:r>
      <w:r w:rsidR="008E3E90" w:rsidRPr="006730E3">
        <w:rPr>
          <w:rFonts w:ascii="Calibri" w:hAnsi="Calibri" w:cs="Times New Roman"/>
          <w:sz w:val="24"/>
          <w:szCs w:val="24"/>
        </w:rPr>
        <w:t>autonomía privada</w:t>
      </w:r>
      <w:r w:rsidR="002B2F4F" w:rsidRPr="006730E3">
        <w:rPr>
          <w:rFonts w:ascii="Calibri" w:hAnsi="Calibri" w:cs="Times New Roman"/>
          <w:sz w:val="24"/>
          <w:szCs w:val="24"/>
        </w:rPr>
        <w:t xml:space="preserve"> de </w:t>
      </w:r>
      <w:r w:rsidR="001D0438" w:rsidRPr="006730E3">
        <w:rPr>
          <w:rFonts w:ascii="Calibri" w:hAnsi="Calibri" w:cs="Times New Roman"/>
          <w:sz w:val="24"/>
          <w:szCs w:val="24"/>
        </w:rPr>
        <w:t>cada uno de los convivientes</w:t>
      </w:r>
      <w:r w:rsidR="008E3E90" w:rsidRPr="006730E3">
        <w:rPr>
          <w:rFonts w:ascii="Calibri" w:hAnsi="Calibri" w:cs="Times New Roman"/>
          <w:sz w:val="24"/>
          <w:szCs w:val="24"/>
        </w:rPr>
        <w:t xml:space="preserve"> en cuanto su aplicación depende precisamente de su asunción voluntaria</w:t>
      </w:r>
      <w:r w:rsidR="002B2F4F" w:rsidRPr="006730E3">
        <w:rPr>
          <w:rFonts w:ascii="Calibri" w:hAnsi="Calibri" w:cs="Times New Roman"/>
          <w:sz w:val="24"/>
          <w:szCs w:val="24"/>
        </w:rPr>
        <w:t xml:space="preserve">. </w:t>
      </w:r>
      <w:r w:rsidR="00D74946" w:rsidRPr="006730E3">
        <w:rPr>
          <w:rFonts w:ascii="Calibri" w:hAnsi="Calibri" w:cs="Times New Roman"/>
          <w:sz w:val="24"/>
          <w:szCs w:val="24"/>
        </w:rPr>
        <w:t xml:space="preserve">Cuestión distinta es si el legislador gallego tiene atribuidas </w:t>
      </w:r>
      <w:r w:rsidR="0054263D" w:rsidRPr="006730E3">
        <w:rPr>
          <w:rFonts w:ascii="Calibri" w:hAnsi="Calibri" w:cs="Times New Roman"/>
          <w:sz w:val="24"/>
          <w:szCs w:val="24"/>
        </w:rPr>
        <w:t>suficientes</w:t>
      </w:r>
      <w:r w:rsidR="00D74946" w:rsidRPr="006730E3">
        <w:rPr>
          <w:rFonts w:ascii="Calibri" w:hAnsi="Calibri" w:cs="Times New Roman"/>
          <w:sz w:val="24"/>
          <w:szCs w:val="24"/>
        </w:rPr>
        <w:t xml:space="preserve"> competencias</w:t>
      </w:r>
      <w:r w:rsidR="0054263D" w:rsidRPr="006730E3">
        <w:rPr>
          <w:rFonts w:ascii="Calibri" w:hAnsi="Calibri" w:cs="Times New Roman"/>
          <w:sz w:val="24"/>
          <w:szCs w:val="24"/>
        </w:rPr>
        <w:t xml:space="preserve"> para que un régimen económico como el de gananciales, cuyas consecuencias trascienden a las relaciones </w:t>
      </w:r>
      <w:r w:rsidR="0054263D" w:rsidRPr="006730E3">
        <w:rPr>
          <w:rFonts w:ascii="Calibri" w:hAnsi="Calibri" w:cs="Times New Roman"/>
          <w:i/>
          <w:sz w:val="24"/>
          <w:szCs w:val="24"/>
        </w:rPr>
        <w:t>inter partes</w:t>
      </w:r>
      <w:r w:rsidR="0054263D" w:rsidRPr="006730E3">
        <w:rPr>
          <w:rFonts w:ascii="Calibri" w:hAnsi="Calibri" w:cs="Times New Roman"/>
          <w:sz w:val="24"/>
          <w:szCs w:val="24"/>
        </w:rPr>
        <w:t xml:space="preserve"> y afecta a los terceros que se relacionen con la pareja, pueda desplegar su completa eficacia. </w:t>
      </w:r>
    </w:p>
    <w:p w:rsidR="00136FA8" w:rsidRPr="006730E3" w:rsidRDefault="00D97941"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efecto, si el sistema </w:t>
      </w:r>
      <w:proofErr w:type="spellStart"/>
      <w:r w:rsidRPr="006730E3">
        <w:rPr>
          <w:rFonts w:ascii="Calibri" w:hAnsi="Calibri" w:cs="Times New Roman"/>
          <w:i/>
          <w:sz w:val="24"/>
          <w:szCs w:val="24"/>
        </w:rPr>
        <w:t>opt</w:t>
      </w:r>
      <w:proofErr w:type="spellEnd"/>
      <w:r w:rsidRPr="006730E3">
        <w:rPr>
          <w:rFonts w:ascii="Calibri" w:hAnsi="Calibri" w:cs="Times New Roman"/>
          <w:i/>
          <w:sz w:val="24"/>
          <w:szCs w:val="24"/>
        </w:rPr>
        <w:t>-in</w:t>
      </w:r>
      <w:r w:rsidRPr="006730E3">
        <w:rPr>
          <w:rFonts w:ascii="Calibri" w:hAnsi="Calibri" w:cs="Times New Roman"/>
          <w:sz w:val="24"/>
          <w:szCs w:val="24"/>
        </w:rPr>
        <w:t xml:space="preserve"> ideado por el legislador gallego hubiese establecido un régimen económico </w:t>
      </w:r>
      <w:r w:rsidRPr="006730E3">
        <w:rPr>
          <w:rFonts w:ascii="Calibri" w:hAnsi="Calibri" w:cs="Times New Roman"/>
          <w:i/>
          <w:sz w:val="24"/>
          <w:szCs w:val="24"/>
        </w:rPr>
        <w:t>ad hoc</w:t>
      </w:r>
      <w:r w:rsidRPr="006730E3">
        <w:rPr>
          <w:rFonts w:ascii="Calibri" w:hAnsi="Calibri" w:cs="Times New Roman"/>
          <w:sz w:val="24"/>
          <w:szCs w:val="24"/>
        </w:rPr>
        <w:t xml:space="preserve"> ceñido a </w:t>
      </w:r>
      <w:r w:rsidR="00034342" w:rsidRPr="006730E3">
        <w:rPr>
          <w:rFonts w:ascii="Calibri" w:hAnsi="Calibri" w:cs="Times New Roman"/>
          <w:sz w:val="24"/>
          <w:szCs w:val="24"/>
        </w:rPr>
        <w:t>las</w:t>
      </w:r>
      <w:r w:rsidRPr="006730E3">
        <w:rPr>
          <w:rFonts w:ascii="Calibri" w:hAnsi="Calibri" w:cs="Times New Roman"/>
          <w:sz w:val="24"/>
          <w:szCs w:val="24"/>
        </w:rPr>
        <w:t xml:space="preserve"> relaciones privadas</w:t>
      </w:r>
      <w:r w:rsidR="00034342" w:rsidRPr="006730E3">
        <w:rPr>
          <w:rFonts w:ascii="Calibri" w:hAnsi="Calibri" w:cs="Times New Roman"/>
          <w:sz w:val="24"/>
          <w:szCs w:val="24"/>
        </w:rPr>
        <w:t xml:space="preserve"> de la pareja</w:t>
      </w:r>
      <w:r w:rsidRPr="006730E3">
        <w:rPr>
          <w:rFonts w:ascii="Calibri" w:hAnsi="Calibri" w:cs="Times New Roman"/>
          <w:sz w:val="24"/>
          <w:szCs w:val="24"/>
        </w:rPr>
        <w:t xml:space="preserve"> y sin consecuencias directas en las relaciones mantenidas con terceras personas, </w:t>
      </w:r>
      <w:r w:rsidR="00E16EB1" w:rsidRPr="006730E3">
        <w:rPr>
          <w:rFonts w:ascii="Calibri" w:hAnsi="Calibri" w:cs="Times New Roman"/>
          <w:sz w:val="24"/>
          <w:szCs w:val="24"/>
        </w:rPr>
        <w:t>habría</w:t>
      </w:r>
      <w:r w:rsidRPr="006730E3">
        <w:rPr>
          <w:rFonts w:ascii="Calibri" w:hAnsi="Calibri" w:cs="Times New Roman"/>
          <w:sz w:val="24"/>
          <w:szCs w:val="24"/>
        </w:rPr>
        <w:t xml:space="preserve"> sido suficiente un requisito formal de aplicabilidad </w:t>
      </w:r>
      <w:r w:rsidR="00B96A9F" w:rsidRPr="006730E3">
        <w:rPr>
          <w:rFonts w:ascii="Calibri" w:hAnsi="Calibri" w:cs="Times New Roman"/>
          <w:sz w:val="24"/>
          <w:szCs w:val="24"/>
        </w:rPr>
        <w:t>reservado al conocimiento</w:t>
      </w:r>
      <w:r w:rsidR="001D0438" w:rsidRPr="006730E3">
        <w:rPr>
          <w:rFonts w:ascii="Calibri" w:hAnsi="Calibri" w:cs="Times New Roman"/>
          <w:sz w:val="24"/>
          <w:szCs w:val="24"/>
        </w:rPr>
        <w:t xml:space="preserve"> y aceptación</w:t>
      </w:r>
      <w:r w:rsidR="00B96A9F" w:rsidRPr="006730E3">
        <w:rPr>
          <w:rFonts w:ascii="Calibri" w:hAnsi="Calibri" w:cs="Times New Roman"/>
          <w:sz w:val="24"/>
          <w:szCs w:val="24"/>
        </w:rPr>
        <w:t xml:space="preserve"> de los convivientes</w:t>
      </w:r>
      <w:r w:rsidR="005E4F48" w:rsidRPr="006730E3">
        <w:rPr>
          <w:rFonts w:ascii="Calibri" w:hAnsi="Calibri" w:cs="Times New Roman"/>
          <w:sz w:val="24"/>
          <w:szCs w:val="24"/>
        </w:rPr>
        <w:t xml:space="preserve"> sin necesidad de crear una estructura </w:t>
      </w:r>
      <w:r w:rsidR="00776230" w:rsidRPr="006730E3">
        <w:rPr>
          <w:rFonts w:ascii="Calibri" w:hAnsi="Calibri" w:cs="Times New Roman"/>
          <w:sz w:val="24"/>
          <w:szCs w:val="24"/>
        </w:rPr>
        <w:t xml:space="preserve">registral con </w:t>
      </w:r>
      <w:r w:rsidR="007B0BA4" w:rsidRPr="006730E3">
        <w:rPr>
          <w:rFonts w:ascii="Calibri" w:hAnsi="Calibri" w:cs="Times New Roman"/>
          <w:sz w:val="24"/>
          <w:szCs w:val="24"/>
        </w:rPr>
        <w:t>las</w:t>
      </w:r>
      <w:r w:rsidR="00776230" w:rsidRPr="006730E3">
        <w:rPr>
          <w:rFonts w:ascii="Calibri" w:hAnsi="Calibri" w:cs="Times New Roman"/>
          <w:sz w:val="24"/>
          <w:szCs w:val="24"/>
        </w:rPr>
        <w:t xml:space="preserve"> </w:t>
      </w:r>
      <w:r w:rsidR="007B0BA4" w:rsidRPr="006730E3">
        <w:rPr>
          <w:rFonts w:ascii="Calibri" w:hAnsi="Calibri" w:cs="Times New Roman"/>
          <w:sz w:val="24"/>
          <w:szCs w:val="24"/>
        </w:rPr>
        <w:t>caracterí</w:t>
      </w:r>
      <w:r w:rsidR="00776230" w:rsidRPr="006730E3">
        <w:rPr>
          <w:rFonts w:ascii="Calibri" w:hAnsi="Calibri" w:cs="Times New Roman"/>
          <w:sz w:val="24"/>
          <w:szCs w:val="24"/>
        </w:rPr>
        <w:t>sticas</w:t>
      </w:r>
      <w:r w:rsidR="007B0BA4" w:rsidRPr="006730E3">
        <w:rPr>
          <w:rFonts w:ascii="Calibri" w:hAnsi="Calibri" w:cs="Times New Roman"/>
          <w:sz w:val="24"/>
          <w:szCs w:val="24"/>
        </w:rPr>
        <w:t xml:space="preserve"> de</w:t>
      </w:r>
      <w:r w:rsidR="000C3B73" w:rsidRPr="006730E3">
        <w:rPr>
          <w:rFonts w:ascii="Calibri" w:hAnsi="Calibri" w:cs="Times New Roman"/>
          <w:sz w:val="24"/>
          <w:szCs w:val="24"/>
        </w:rPr>
        <w:t xml:space="preserve"> </w:t>
      </w:r>
      <w:r w:rsidR="007B0BA4" w:rsidRPr="006730E3">
        <w:rPr>
          <w:rFonts w:ascii="Calibri" w:hAnsi="Calibri" w:cs="Times New Roman"/>
          <w:sz w:val="24"/>
          <w:szCs w:val="24"/>
        </w:rPr>
        <w:t>l</w:t>
      </w:r>
      <w:r w:rsidR="000C3B73" w:rsidRPr="006730E3">
        <w:rPr>
          <w:rFonts w:ascii="Calibri" w:hAnsi="Calibri" w:cs="Times New Roman"/>
          <w:sz w:val="24"/>
          <w:szCs w:val="24"/>
        </w:rPr>
        <w:t>a</w:t>
      </w:r>
      <w:r w:rsidR="007B0BA4" w:rsidRPr="006730E3">
        <w:rPr>
          <w:rFonts w:ascii="Calibri" w:hAnsi="Calibri" w:cs="Times New Roman"/>
          <w:sz w:val="24"/>
          <w:szCs w:val="24"/>
        </w:rPr>
        <w:t xml:space="preserve"> actual</w:t>
      </w:r>
      <w:r w:rsidR="00B96A9F" w:rsidRPr="006730E3">
        <w:rPr>
          <w:rFonts w:ascii="Calibri" w:hAnsi="Calibri" w:cs="Times New Roman"/>
          <w:sz w:val="24"/>
          <w:szCs w:val="24"/>
        </w:rPr>
        <w:t>.</w:t>
      </w:r>
      <w:r w:rsidR="00E16EB1" w:rsidRPr="006730E3">
        <w:rPr>
          <w:rFonts w:ascii="Calibri" w:hAnsi="Calibri" w:cs="Times New Roman"/>
          <w:sz w:val="24"/>
          <w:szCs w:val="24"/>
        </w:rPr>
        <w:t xml:space="preserve"> Sin embargo, </w:t>
      </w:r>
      <w:r w:rsidR="00B04F3C" w:rsidRPr="006730E3">
        <w:rPr>
          <w:rFonts w:ascii="Calibri" w:hAnsi="Calibri" w:cs="Times New Roman"/>
          <w:sz w:val="24"/>
          <w:szCs w:val="24"/>
        </w:rPr>
        <w:t>optar</w:t>
      </w:r>
      <w:r w:rsidR="00BF620F" w:rsidRPr="006730E3">
        <w:rPr>
          <w:rFonts w:ascii="Calibri" w:hAnsi="Calibri" w:cs="Times New Roman"/>
          <w:sz w:val="24"/>
          <w:szCs w:val="24"/>
        </w:rPr>
        <w:t xml:space="preserve"> </w:t>
      </w:r>
      <w:r w:rsidR="00B04F3C" w:rsidRPr="006730E3">
        <w:rPr>
          <w:rFonts w:ascii="Calibri" w:hAnsi="Calibri" w:cs="Times New Roman"/>
          <w:sz w:val="24"/>
          <w:szCs w:val="24"/>
        </w:rPr>
        <w:t xml:space="preserve">por </w:t>
      </w:r>
      <w:r w:rsidR="00E16EB1" w:rsidRPr="006730E3">
        <w:rPr>
          <w:rFonts w:ascii="Calibri" w:hAnsi="Calibri" w:cs="Times New Roman"/>
          <w:sz w:val="24"/>
          <w:szCs w:val="24"/>
        </w:rPr>
        <w:t>un</w:t>
      </w:r>
      <w:r w:rsidR="00802055" w:rsidRPr="006730E3">
        <w:rPr>
          <w:rFonts w:ascii="Calibri" w:hAnsi="Calibri" w:cs="Times New Roman"/>
          <w:sz w:val="24"/>
          <w:szCs w:val="24"/>
        </w:rPr>
        <w:t xml:space="preserve"> sistema como el de gananciales</w:t>
      </w:r>
      <w:r w:rsidR="00E16EB1" w:rsidRPr="006730E3">
        <w:rPr>
          <w:rFonts w:ascii="Calibri" w:hAnsi="Calibri" w:cs="Times New Roman"/>
          <w:sz w:val="24"/>
          <w:szCs w:val="24"/>
        </w:rPr>
        <w:t xml:space="preserve"> </w:t>
      </w:r>
      <w:r w:rsidR="00802055" w:rsidRPr="006730E3">
        <w:rPr>
          <w:rFonts w:ascii="Calibri" w:hAnsi="Calibri" w:cs="Times New Roman"/>
          <w:sz w:val="24"/>
          <w:szCs w:val="24"/>
        </w:rPr>
        <w:t>(</w:t>
      </w:r>
      <w:r w:rsidR="00E16EB1" w:rsidRPr="006730E3">
        <w:rPr>
          <w:rFonts w:ascii="Calibri" w:hAnsi="Calibri" w:cs="Times New Roman"/>
          <w:sz w:val="24"/>
          <w:szCs w:val="24"/>
        </w:rPr>
        <w:t xml:space="preserve">o incluso cualquier otro sistema diseñado </w:t>
      </w:r>
      <w:r w:rsidR="00802055" w:rsidRPr="006730E3">
        <w:rPr>
          <w:rFonts w:ascii="Calibri" w:hAnsi="Calibri" w:cs="Times New Roman"/>
          <w:sz w:val="24"/>
          <w:szCs w:val="24"/>
        </w:rPr>
        <w:t>expresamente</w:t>
      </w:r>
      <w:r w:rsidR="00E16EB1" w:rsidRPr="006730E3">
        <w:rPr>
          <w:rFonts w:ascii="Calibri" w:hAnsi="Calibri" w:cs="Times New Roman"/>
          <w:sz w:val="24"/>
          <w:szCs w:val="24"/>
        </w:rPr>
        <w:t xml:space="preserve"> </w:t>
      </w:r>
      <w:r w:rsidR="00802055" w:rsidRPr="006730E3">
        <w:rPr>
          <w:rFonts w:ascii="Calibri" w:hAnsi="Calibri" w:cs="Times New Roman"/>
          <w:sz w:val="24"/>
          <w:szCs w:val="24"/>
        </w:rPr>
        <w:t>por</w:t>
      </w:r>
      <w:r w:rsidR="00E16EB1" w:rsidRPr="006730E3">
        <w:rPr>
          <w:rFonts w:ascii="Calibri" w:hAnsi="Calibri" w:cs="Times New Roman"/>
          <w:sz w:val="24"/>
          <w:szCs w:val="24"/>
        </w:rPr>
        <w:t xml:space="preserve"> el legislador que, en aras de proteger</w:t>
      </w:r>
      <w:r w:rsidR="00802055" w:rsidRPr="006730E3">
        <w:rPr>
          <w:rFonts w:ascii="Calibri" w:hAnsi="Calibri" w:cs="Times New Roman"/>
          <w:sz w:val="24"/>
          <w:szCs w:val="24"/>
        </w:rPr>
        <w:t xml:space="preserve"> a la familia, pretendiese vincular a terceras personas) requiere dotar a dicho régimen de la suficiente</w:t>
      </w:r>
      <w:r w:rsidR="00260351" w:rsidRPr="006730E3">
        <w:rPr>
          <w:rFonts w:ascii="Calibri" w:hAnsi="Calibri" w:cs="Times New Roman"/>
          <w:sz w:val="24"/>
          <w:szCs w:val="24"/>
        </w:rPr>
        <w:t xml:space="preserve"> publicidad</w:t>
      </w:r>
      <w:r w:rsidR="00FC63A5" w:rsidRPr="006730E3">
        <w:rPr>
          <w:rFonts w:ascii="Calibri" w:hAnsi="Calibri" w:cs="Times New Roman"/>
          <w:sz w:val="24"/>
          <w:szCs w:val="24"/>
        </w:rPr>
        <w:t xml:space="preserve"> y certidumbre</w:t>
      </w:r>
      <w:r w:rsidR="00260351" w:rsidRPr="006730E3">
        <w:rPr>
          <w:rFonts w:ascii="Calibri" w:hAnsi="Calibri" w:cs="Times New Roman"/>
          <w:sz w:val="24"/>
          <w:szCs w:val="24"/>
        </w:rPr>
        <w:t>. Ante tal</w:t>
      </w:r>
      <w:r w:rsidR="00034342" w:rsidRPr="006730E3">
        <w:rPr>
          <w:rFonts w:ascii="Calibri" w:hAnsi="Calibri" w:cs="Times New Roman"/>
          <w:sz w:val="24"/>
          <w:szCs w:val="24"/>
        </w:rPr>
        <w:t xml:space="preserve"> necesidad se encontr</w:t>
      </w:r>
      <w:r w:rsidR="00260351" w:rsidRPr="006730E3">
        <w:rPr>
          <w:rFonts w:ascii="Calibri" w:hAnsi="Calibri" w:cs="Times New Roman"/>
          <w:sz w:val="24"/>
          <w:szCs w:val="24"/>
        </w:rPr>
        <w:t>ó el legislador gallego</w:t>
      </w:r>
      <w:r w:rsidR="00BF620F" w:rsidRPr="006730E3">
        <w:rPr>
          <w:rFonts w:ascii="Calibri" w:hAnsi="Calibri" w:cs="Times New Roman"/>
          <w:sz w:val="24"/>
          <w:szCs w:val="24"/>
        </w:rPr>
        <w:t xml:space="preserve"> al </w:t>
      </w:r>
      <w:r w:rsidR="0089518E" w:rsidRPr="006730E3">
        <w:rPr>
          <w:rFonts w:ascii="Calibri" w:hAnsi="Calibri" w:cs="Times New Roman"/>
          <w:sz w:val="24"/>
          <w:szCs w:val="24"/>
        </w:rPr>
        <w:t>inclinarse por</w:t>
      </w:r>
      <w:r w:rsidR="00BF620F" w:rsidRPr="006730E3">
        <w:rPr>
          <w:rFonts w:ascii="Calibri" w:hAnsi="Calibri" w:cs="Times New Roman"/>
          <w:sz w:val="24"/>
          <w:szCs w:val="24"/>
        </w:rPr>
        <w:t xml:space="preserve"> la mimetización entre </w:t>
      </w:r>
      <w:r w:rsidR="00D60244" w:rsidRPr="006730E3">
        <w:rPr>
          <w:rFonts w:ascii="Calibri" w:hAnsi="Calibri" w:cs="Times New Roman"/>
          <w:sz w:val="24"/>
          <w:szCs w:val="24"/>
        </w:rPr>
        <w:t xml:space="preserve">la </w:t>
      </w:r>
      <w:r w:rsidR="00BF620F" w:rsidRPr="006730E3">
        <w:rPr>
          <w:rFonts w:ascii="Calibri" w:hAnsi="Calibri" w:cs="Times New Roman"/>
          <w:sz w:val="24"/>
          <w:szCs w:val="24"/>
        </w:rPr>
        <w:t>pareja y</w:t>
      </w:r>
      <w:r w:rsidR="00D60244" w:rsidRPr="006730E3">
        <w:rPr>
          <w:rFonts w:ascii="Calibri" w:hAnsi="Calibri" w:cs="Times New Roman"/>
          <w:sz w:val="24"/>
          <w:szCs w:val="24"/>
        </w:rPr>
        <w:t xml:space="preserve"> el </w:t>
      </w:r>
      <w:r w:rsidR="00BF620F" w:rsidRPr="006730E3">
        <w:rPr>
          <w:rFonts w:ascii="Calibri" w:hAnsi="Calibri" w:cs="Times New Roman"/>
          <w:sz w:val="24"/>
          <w:szCs w:val="24"/>
        </w:rPr>
        <w:t>matrimonio, posiblemente sin ser plenamente consciente de ello y sin haber ponderado todas las consecuencias y las necesidades de la institución matrimonial</w:t>
      </w:r>
      <w:r w:rsidR="0089518E" w:rsidRPr="006730E3">
        <w:rPr>
          <w:rFonts w:ascii="Calibri" w:hAnsi="Calibri" w:cs="Times New Roman"/>
          <w:sz w:val="24"/>
          <w:szCs w:val="24"/>
        </w:rPr>
        <w:t>,</w:t>
      </w:r>
      <w:r w:rsidR="00260351" w:rsidRPr="006730E3">
        <w:rPr>
          <w:rFonts w:ascii="Calibri" w:hAnsi="Calibri" w:cs="Times New Roman"/>
          <w:sz w:val="24"/>
          <w:szCs w:val="24"/>
        </w:rPr>
        <w:t xml:space="preserve"> y</w:t>
      </w:r>
      <w:r w:rsidR="00136FA8" w:rsidRPr="006730E3">
        <w:rPr>
          <w:rFonts w:ascii="Calibri" w:hAnsi="Calibri" w:cs="Times New Roman"/>
          <w:sz w:val="24"/>
          <w:szCs w:val="24"/>
        </w:rPr>
        <w:t xml:space="preserve"> ello da respuesta</w:t>
      </w:r>
      <w:r w:rsidR="00260351" w:rsidRPr="006730E3">
        <w:rPr>
          <w:rFonts w:ascii="Calibri" w:hAnsi="Calibri" w:cs="Times New Roman"/>
          <w:sz w:val="24"/>
          <w:szCs w:val="24"/>
        </w:rPr>
        <w:t>, en nuestra opinión</w:t>
      </w:r>
      <w:r w:rsidR="00136FA8" w:rsidRPr="006730E3">
        <w:rPr>
          <w:rFonts w:ascii="Calibri" w:hAnsi="Calibri" w:cs="Times New Roman"/>
          <w:sz w:val="24"/>
          <w:szCs w:val="24"/>
        </w:rPr>
        <w:t xml:space="preserve">, a la pregunta que la doctrina se formula tan recurrentemente: </w:t>
      </w:r>
      <w:r w:rsidR="00A234CA" w:rsidRPr="006730E3">
        <w:rPr>
          <w:rFonts w:ascii="Calibri" w:hAnsi="Calibri" w:cs="Times New Roman"/>
          <w:sz w:val="24"/>
          <w:szCs w:val="24"/>
        </w:rPr>
        <w:t>cuál es</w:t>
      </w:r>
      <w:r w:rsidR="00D22DB9" w:rsidRPr="006730E3">
        <w:rPr>
          <w:rFonts w:ascii="Calibri" w:hAnsi="Calibri" w:cs="Times New Roman"/>
          <w:sz w:val="24"/>
          <w:szCs w:val="24"/>
        </w:rPr>
        <w:t xml:space="preserve"> el motivo por el que </w:t>
      </w:r>
      <w:r w:rsidR="00136FA8" w:rsidRPr="006730E3">
        <w:rPr>
          <w:rFonts w:ascii="Calibri" w:hAnsi="Calibri" w:cs="Times New Roman"/>
          <w:sz w:val="24"/>
          <w:szCs w:val="24"/>
        </w:rPr>
        <w:t>se pasó</w:t>
      </w:r>
      <w:r w:rsidR="00335E15" w:rsidRPr="006730E3">
        <w:rPr>
          <w:rFonts w:ascii="Calibri" w:hAnsi="Calibri" w:cs="Times New Roman"/>
          <w:sz w:val="24"/>
          <w:szCs w:val="24"/>
        </w:rPr>
        <w:t xml:space="preserve"> de un sistema puramente factual a otro de corte formal</w:t>
      </w:r>
      <w:r w:rsidR="00B04F3C" w:rsidRPr="006730E3">
        <w:rPr>
          <w:rFonts w:ascii="Calibri" w:hAnsi="Calibri" w:cs="Times New Roman"/>
          <w:sz w:val="24"/>
          <w:szCs w:val="24"/>
        </w:rPr>
        <w:t xml:space="preserve"> mediante la reforma del año 2007</w:t>
      </w:r>
      <w:r w:rsidR="00D22DB9" w:rsidRPr="006730E3">
        <w:rPr>
          <w:rFonts w:ascii="Calibri" w:hAnsi="Calibri" w:cs="Times New Roman"/>
          <w:sz w:val="24"/>
          <w:szCs w:val="24"/>
        </w:rPr>
        <w:t>.</w:t>
      </w:r>
    </w:p>
    <w:p w:rsidR="003230AE" w:rsidRPr="006730E3" w:rsidRDefault="00142B3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Se ha </w:t>
      </w:r>
      <w:r w:rsidR="00AE00E9" w:rsidRPr="006730E3">
        <w:rPr>
          <w:rFonts w:ascii="Calibri" w:hAnsi="Calibri" w:cs="Times New Roman"/>
          <w:sz w:val="24"/>
          <w:szCs w:val="24"/>
        </w:rPr>
        <w:t xml:space="preserve">señalado que, </w:t>
      </w:r>
      <w:r w:rsidRPr="006730E3">
        <w:rPr>
          <w:rFonts w:ascii="Calibri" w:hAnsi="Calibri" w:cs="Times New Roman"/>
          <w:sz w:val="24"/>
          <w:szCs w:val="24"/>
        </w:rPr>
        <w:t>el legislador se propuso</w:t>
      </w:r>
      <w:r w:rsidR="00AE00E9" w:rsidRPr="006730E3">
        <w:rPr>
          <w:rFonts w:ascii="Calibri" w:hAnsi="Calibri" w:cs="Times New Roman"/>
          <w:sz w:val="24"/>
          <w:szCs w:val="24"/>
        </w:rPr>
        <w:t xml:space="preserve"> con dicha reforma</w:t>
      </w:r>
      <w:r w:rsidRPr="006730E3">
        <w:rPr>
          <w:rFonts w:ascii="Calibri" w:hAnsi="Calibri" w:cs="Times New Roman"/>
          <w:sz w:val="24"/>
          <w:szCs w:val="24"/>
        </w:rPr>
        <w:t xml:space="preserve"> esclarecer el criterio que ya mantenía con anterioridad (la aplicación de la sociedad de gananciales a los convivientes) y restringirlo a las parejas que cumplan los requisitos de la DAT</w:t>
      </w:r>
      <w:r w:rsidRPr="006730E3">
        <w:rPr>
          <w:rStyle w:val="Refdenotaalpie"/>
          <w:rFonts w:ascii="Calibri" w:hAnsi="Calibri" w:cs="Times New Roman"/>
          <w:sz w:val="24"/>
          <w:szCs w:val="24"/>
        </w:rPr>
        <w:footnoteReference w:id="78"/>
      </w:r>
      <w:r w:rsidRPr="006730E3">
        <w:rPr>
          <w:rFonts w:ascii="Calibri" w:hAnsi="Calibri" w:cs="Times New Roman"/>
          <w:sz w:val="24"/>
          <w:szCs w:val="24"/>
        </w:rPr>
        <w:t xml:space="preserve">. Pero decir únicamente esto último es insuficiente. Debemos insistir que la opción de crear un sistema formal se presentó como el inevitable camino a recorrer para tratar de dotar de plena eficacia al sistema escogido como punto de partida: la asimilación entre la pareja y el matrimonio y, por extensión, la sociedad de gananciales como régimen económico dispositivo típico. </w:t>
      </w:r>
      <w:r w:rsidR="0089518E" w:rsidRPr="006730E3">
        <w:rPr>
          <w:rFonts w:ascii="Calibri" w:hAnsi="Calibri" w:cs="Times New Roman"/>
          <w:sz w:val="24"/>
          <w:szCs w:val="24"/>
        </w:rPr>
        <w:t>E</w:t>
      </w:r>
      <w:r w:rsidR="000864F7" w:rsidRPr="006730E3">
        <w:rPr>
          <w:rFonts w:ascii="Calibri" w:hAnsi="Calibri" w:cs="Times New Roman"/>
          <w:sz w:val="24"/>
          <w:szCs w:val="24"/>
        </w:rPr>
        <w:t xml:space="preserve">s cierto que </w:t>
      </w:r>
      <w:r w:rsidR="00D22DB9" w:rsidRPr="006730E3">
        <w:rPr>
          <w:rFonts w:ascii="Calibri" w:hAnsi="Calibri" w:cs="Times New Roman"/>
          <w:sz w:val="24"/>
          <w:szCs w:val="24"/>
        </w:rPr>
        <w:t xml:space="preserve">la general apelación que </w:t>
      </w:r>
      <w:r w:rsidR="000864F7" w:rsidRPr="006730E3">
        <w:rPr>
          <w:rFonts w:ascii="Calibri" w:hAnsi="Calibri" w:cs="Times New Roman"/>
          <w:sz w:val="24"/>
          <w:szCs w:val="24"/>
        </w:rPr>
        <w:t>la Exposición de Motivos de la L</w:t>
      </w:r>
      <w:r w:rsidR="00D22DB9" w:rsidRPr="006730E3">
        <w:rPr>
          <w:rFonts w:ascii="Calibri" w:hAnsi="Calibri" w:cs="Times New Roman"/>
          <w:sz w:val="24"/>
          <w:szCs w:val="24"/>
        </w:rPr>
        <w:t xml:space="preserve">ey de reforma de 2007 realiza </w:t>
      </w:r>
      <w:r w:rsidR="00D22DB9" w:rsidRPr="006730E3">
        <w:rPr>
          <w:rFonts w:ascii="Calibri" w:hAnsi="Calibri" w:cs="Times New Roman"/>
          <w:sz w:val="24"/>
          <w:szCs w:val="24"/>
        </w:rPr>
        <w:lastRenderedPageBreak/>
        <w:t xml:space="preserve">al libre desarrollo de la personalidad, el principio de igualdad ante la ley y la salvaguarda de la seguridad jurídica </w:t>
      </w:r>
      <w:r w:rsidR="000864F7" w:rsidRPr="006730E3">
        <w:rPr>
          <w:rFonts w:ascii="Calibri" w:hAnsi="Calibri" w:cs="Times New Roman"/>
          <w:sz w:val="24"/>
          <w:szCs w:val="24"/>
        </w:rPr>
        <w:t>como justificación de la modificación legislativa es demasiado vaga e inconcreta</w:t>
      </w:r>
      <w:r w:rsidR="00D22DB9" w:rsidRPr="006730E3">
        <w:rPr>
          <w:rStyle w:val="Refdenotaalpie"/>
          <w:rFonts w:ascii="Calibri" w:hAnsi="Calibri" w:cs="Times New Roman"/>
          <w:sz w:val="24"/>
          <w:szCs w:val="24"/>
        </w:rPr>
        <w:footnoteReference w:id="79"/>
      </w:r>
      <w:r w:rsidRPr="006730E3">
        <w:rPr>
          <w:rFonts w:ascii="Calibri" w:hAnsi="Calibri" w:cs="Times New Roman"/>
          <w:sz w:val="24"/>
          <w:szCs w:val="24"/>
        </w:rPr>
        <w:t>, pero</w:t>
      </w:r>
      <w:r w:rsidR="003230AE" w:rsidRPr="006730E3">
        <w:rPr>
          <w:rFonts w:ascii="Calibri" w:hAnsi="Calibri" w:cs="Times New Roman"/>
          <w:sz w:val="24"/>
          <w:szCs w:val="24"/>
        </w:rPr>
        <w:t xml:space="preserve"> </w:t>
      </w:r>
      <w:r w:rsidRPr="006730E3">
        <w:rPr>
          <w:rFonts w:ascii="Calibri" w:hAnsi="Calibri" w:cs="Times New Roman"/>
          <w:sz w:val="24"/>
          <w:szCs w:val="24"/>
        </w:rPr>
        <w:t>en esa general alusión a la seguridad jurídica se insinúa lo que el legislador no ha explicado con palabras claras.</w:t>
      </w:r>
    </w:p>
    <w:p w:rsidR="00942130" w:rsidRPr="006730E3" w:rsidRDefault="003230AE" w:rsidP="00416B3A">
      <w:pPr>
        <w:spacing w:line="312" w:lineRule="auto"/>
        <w:jc w:val="both"/>
        <w:rPr>
          <w:rFonts w:ascii="Calibri" w:hAnsi="Calibri" w:cs="Times New Roman"/>
          <w:sz w:val="24"/>
          <w:szCs w:val="24"/>
        </w:rPr>
      </w:pPr>
      <w:r w:rsidRPr="006730E3">
        <w:rPr>
          <w:rFonts w:ascii="Calibri" w:hAnsi="Calibri" w:cs="Times New Roman"/>
          <w:sz w:val="24"/>
          <w:szCs w:val="24"/>
        </w:rPr>
        <w:t>Sin embargo</w:t>
      </w:r>
      <w:r w:rsidR="00D52B28" w:rsidRPr="006730E3">
        <w:rPr>
          <w:rFonts w:ascii="Calibri" w:hAnsi="Calibri" w:cs="Times New Roman"/>
          <w:sz w:val="24"/>
          <w:szCs w:val="24"/>
        </w:rPr>
        <w:t xml:space="preserve">, </w:t>
      </w:r>
      <w:r w:rsidR="00185BDB" w:rsidRPr="006730E3">
        <w:rPr>
          <w:rFonts w:ascii="Calibri" w:hAnsi="Calibri" w:cs="Times New Roman"/>
          <w:sz w:val="24"/>
          <w:szCs w:val="24"/>
        </w:rPr>
        <w:t xml:space="preserve">como ya hemos explicado, otro sector opina que el legislador quiso añadir el apartado tercero de la DAT para </w:t>
      </w:r>
      <w:r w:rsidR="00A85AE3" w:rsidRPr="006730E3">
        <w:rPr>
          <w:rFonts w:ascii="Calibri" w:hAnsi="Calibri" w:cs="Times New Roman"/>
          <w:sz w:val="24"/>
          <w:szCs w:val="24"/>
        </w:rPr>
        <w:t>reforz</w:t>
      </w:r>
      <w:r w:rsidR="00185BDB" w:rsidRPr="006730E3">
        <w:rPr>
          <w:rFonts w:ascii="Calibri" w:hAnsi="Calibri" w:cs="Times New Roman"/>
          <w:sz w:val="24"/>
          <w:szCs w:val="24"/>
        </w:rPr>
        <w:t xml:space="preserve">ar la autonomía privada de las partes y confirmar la inexistencia de un régimen económico </w:t>
      </w:r>
      <w:r w:rsidR="00222B62" w:rsidRPr="006730E3">
        <w:rPr>
          <w:rFonts w:ascii="Calibri" w:hAnsi="Calibri" w:cs="Times New Roman"/>
          <w:sz w:val="24"/>
          <w:szCs w:val="24"/>
        </w:rPr>
        <w:t>salvo pacto expreso</w:t>
      </w:r>
      <w:r w:rsidR="00222B62" w:rsidRPr="006730E3">
        <w:rPr>
          <w:rStyle w:val="Refdenotaalpie"/>
          <w:rFonts w:ascii="Calibri" w:hAnsi="Calibri" w:cs="Times New Roman"/>
          <w:sz w:val="24"/>
          <w:szCs w:val="24"/>
        </w:rPr>
        <w:footnoteReference w:id="80"/>
      </w:r>
      <w:r w:rsidR="00222B62" w:rsidRPr="006730E3">
        <w:rPr>
          <w:rFonts w:ascii="Calibri" w:hAnsi="Calibri" w:cs="Times New Roman"/>
          <w:sz w:val="24"/>
          <w:szCs w:val="24"/>
        </w:rPr>
        <w:t xml:space="preserve">; de ahí que según esta corriente doctrinal la forma del pacto en escritura pública al que alude el apartado tercero de la DAT es requisito </w:t>
      </w:r>
      <w:r w:rsidR="00222B62" w:rsidRPr="006730E3">
        <w:rPr>
          <w:rFonts w:ascii="Calibri" w:hAnsi="Calibri" w:cs="Times New Roman"/>
          <w:i/>
          <w:sz w:val="24"/>
          <w:szCs w:val="24"/>
        </w:rPr>
        <w:t xml:space="preserve">ad </w:t>
      </w:r>
      <w:proofErr w:type="spellStart"/>
      <w:r w:rsidR="00222B62" w:rsidRPr="006730E3">
        <w:rPr>
          <w:rFonts w:ascii="Calibri" w:hAnsi="Calibri" w:cs="Times New Roman"/>
          <w:i/>
          <w:sz w:val="24"/>
          <w:szCs w:val="24"/>
        </w:rPr>
        <w:t>solemnitatem</w:t>
      </w:r>
      <w:proofErr w:type="spellEnd"/>
      <w:r w:rsidR="00222B62" w:rsidRPr="006730E3">
        <w:rPr>
          <w:rFonts w:ascii="Calibri" w:hAnsi="Calibri" w:cs="Times New Roman"/>
          <w:sz w:val="24"/>
          <w:szCs w:val="24"/>
        </w:rPr>
        <w:t xml:space="preserve"> para su validez</w:t>
      </w:r>
      <w:r w:rsidR="00E049DF" w:rsidRPr="006730E3">
        <w:rPr>
          <w:rFonts w:ascii="Calibri" w:hAnsi="Calibri" w:cs="Times New Roman"/>
          <w:sz w:val="24"/>
          <w:szCs w:val="24"/>
        </w:rPr>
        <w:t xml:space="preserve"> y eficacia</w:t>
      </w:r>
      <w:r w:rsidR="00185BDB" w:rsidRPr="006730E3">
        <w:rPr>
          <w:rStyle w:val="Refdenotaalpie"/>
          <w:rFonts w:ascii="Calibri" w:hAnsi="Calibri" w:cs="Times New Roman"/>
          <w:sz w:val="24"/>
          <w:szCs w:val="24"/>
        </w:rPr>
        <w:footnoteReference w:id="81"/>
      </w:r>
      <w:r w:rsidR="00185BDB" w:rsidRPr="006730E3">
        <w:rPr>
          <w:rFonts w:ascii="Calibri" w:hAnsi="Calibri" w:cs="Times New Roman"/>
          <w:sz w:val="24"/>
          <w:szCs w:val="24"/>
        </w:rPr>
        <w:t>.</w:t>
      </w:r>
      <w:r w:rsidRPr="006730E3">
        <w:rPr>
          <w:rFonts w:ascii="Calibri" w:hAnsi="Calibri" w:cs="Times New Roman"/>
          <w:sz w:val="24"/>
          <w:szCs w:val="24"/>
        </w:rPr>
        <w:t xml:space="preserve"> Pero </w:t>
      </w:r>
      <w:r w:rsidR="00185BDB" w:rsidRPr="006730E3">
        <w:rPr>
          <w:rFonts w:ascii="Calibri" w:hAnsi="Calibri" w:cs="Times New Roman"/>
          <w:sz w:val="24"/>
          <w:szCs w:val="24"/>
        </w:rPr>
        <w:t xml:space="preserve">la razón de ser </w:t>
      </w:r>
      <w:r w:rsidR="00335E15" w:rsidRPr="006730E3">
        <w:rPr>
          <w:rFonts w:ascii="Calibri" w:hAnsi="Calibri" w:cs="Times New Roman"/>
          <w:sz w:val="24"/>
          <w:szCs w:val="24"/>
        </w:rPr>
        <w:t>de dicho</w:t>
      </w:r>
      <w:r w:rsidR="00185BDB" w:rsidRPr="006730E3">
        <w:rPr>
          <w:rFonts w:ascii="Calibri" w:hAnsi="Calibri" w:cs="Times New Roman"/>
          <w:sz w:val="24"/>
          <w:szCs w:val="24"/>
        </w:rPr>
        <w:t xml:space="preserve"> apartado es muy distinta. Entendemos, </w:t>
      </w:r>
      <w:r w:rsidRPr="006730E3">
        <w:rPr>
          <w:rFonts w:ascii="Calibri" w:hAnsi="Calibri" w:cs="Times New Roman"/>
          <w:sz w:val="24"/>
          <w:szCs w:val="24"/>
        </w:rPr>
        <w:t>junto a</w:t>
      </w:r>
      <w:r w:rsidR="00185BDB" w:rsidRPr="006730E3">
        <w:rPr>
          <w:rFonts w:ascii="Calibri" w:hAnsi="Calibri" w:cs="Times New Roman"/>
          <w:sz w:val="24"/>
          <w:szCs w:val="24"/>
        </w:rPr>
        <w:t xml:space="preserve"> </w:t>
      </w:r>
      <w:r w:rsidR="00185BDB" w:rsidRPr="005E241D">
        <w:rPr>
          <w:rFonts w:ascii="Calibri" w:hAnsi="Calibri" w:cs="Times New Roman"/>
          <w:sz w:val="24"/>
          <w:szCs w:val="24"/>
        </w:rPr>
        <w:t>González Nieto</w:t>
      </w:r>
      <w:r w:rsidR="00185BDB" w:rsidRPr="006730E3">
        <w:rPr>
          <w:rFonts w:ascii="Calibri" w:hAnsi="Calibri" w:cs="Times New Roman"/>
          <w:sz w:val="24"/>
          <w:szCs w:val="24"/>
        </w:rPr>
        <w:t xml:space="preserve">, que </w:t>
      </w:r>
      <w:r w:rsidR="00335E15" w:rsidRPr="006730E3">
        <w:rPr>
          <w:rFonts w:ascii="Calibri" w:hAnsi="Calibri" w:cs="Times New Roman"/>
          <w:sz w:val="24"/>
          <w:szCs w:val="24"/>
        </w:rPr>
        <w:t xml:space="preserve">su finalidad </w:t>
      </w:r>
      <w:r w:rsidR="00185BDB" w:rsidRPr="006730E3">
        <w:rPr>
          <w:rFonts w:ascii="Calibri" w:hAnsi="Calibri" w:cs="Times New Roman"/>
          <w:sz w:val="24"/>
          <w:szCs w:val="24"/>
        </w:rPr>
        <w:t xml:space="preserve">es establecer la exigencia de que el acuerdo conste en </w:t>
      </w:r>
      <w:r w:rsidR="006644B3" w:rsidRPr="006730E3">
        <w:rPr>
          <w:rFonts w:ascii="Calibri" w:hAnsi="Calibri" w:cs="Times New Roman"/>
          <w:sz w:val="24"/>
          <w:szCs w:val="24"/>
        </w:rPr>
        <w:t>documento público</w:t>
      </w:r>
      <w:r w:rsidR="00185BDB" w:rsidRPr="006730E3">
        <w:rPr>
          <w:rFonts w:ascii="Calibri" w:hAnsi="Calibri" w:cs="Times New Roman"/>
          <w:sz w:val="24"/>
          <w:szCs w:val="24"/>
        </w:rPr>
        <w:t xml:space="preserve"> como requisito necesario para su acceso al RPHG y no como condición esencial para la validez del mismo</w:t>
      </w:r>
      <w:r w:rsidR="00185BDB" w:rsidRPr="006730E3">
        <w:rPr>
          <w:rStyle w:val="Refdenotaalpie"/>
          <w:rFonts w:ascii="Calibri" w:hAnsi="Calibri" w:cs="Times New Roman"/>
          <w:sz w:val="24"/>
          <w:szCs w:val="24"/>
        </w:rPr>
        <w:footnoteReference w:id="82"/>
      </w:r>
      <w:r w:rsidR="00185BDB" w:rsidRPr="006730E3">
        <w:rPr>
          <w:rFonts w:ascii="Calibri" w:hAnsi="Calibri" w:cs="Times New Roman"/>
          <w:sz w:val="24"/>
          <w:szCs w:val="24"/>
        </w:rPr>
        <w:t>, pu</w:t>
      </w:r>
      <w:r w:rsidR="00D066A5" w:rsidRPr="006730E3">
        <w:rPr>
          <w:rFonts w:ascii="Calibri" w:hAnsi="Calibri" w:cs="Times New Roman"/>
          <w:sz w:val="24"/>
          <w:szCs w:val="24"/>
        </w:rPr>
        <w:t xml:space="preserve">es no hay duda de que la pareja </w:t>
      </w:r>
      <w:r w:rsidR="00185BDB" w:rsidRPr="006730E3">
        <w:rPr>
          <w:rFonts w:ascii="Calibri" w:hAnsi="Calibri" w:cs="Times New Roman"/>
          <w:sz w:val="24"/>
          <w:szCs w:val="24"/>
        </w:rPr>
        <w:t>ostenta libertad de pacto en el ámbito patrimonial con independencia de que dicha disposición exista o no y de que la escritura pública se otorgue o no</w:t>
      </w:r>
      <w:r w:rsidR="00185BDB" w:rsidRPr="006730E3">
        <w:rPr>
          <w:rStyle w:val="Refdenotaalpie"/>
          <w:rFonts w:ascii="Calibri" w:hAnsi="Calibri" w:cs="Times New Roman"/>
          <w:sz w:val="24"/>
          <w:szCs w:val="24"/>
        </w:rPr>
        <w:footnoteReference w:id="83"/>
      </w:r>
      <w:r w:rsidR="00185BDB" w:rsidRPr="006730E3">
        <w:rPr>
          <w:rFonts w:ascii="Calibri" w:hAnsi="Calibri" w:cs="Times New Roman"/>
          <w:sz w:val="24"/>
          <w:szCs w:val="24"/>
        </w:rPr>
        <w:t>. Es cierto que la DAT no lo dice expresamente, pero los arts. 11.3 y 13 del Decreto que regula el RPHG</w:t>
      </w:r>
      <w:r w:rsidR="00185BDB" w:rsidRPr="006730E3">
        <w:rPr>
          <w:rStyle w:val="Refdenotaalpie"/>
          <w:rFonts w:ascii="Calibri" w:hAnsi="Calibri" w:cs="Times New Roman"/>
          <w:sz w:val="24"/>
          <w:szCs w:val="24"/>
        </w:rPr>
        <w:footnoteReference w:id="84"/>
      </w:r>
      <w:r w:rsidR="00185BDB" w:rsidRPr="006730E3">
        <w:rPr>
          <w:rFonts w:ascii="Calibri" w:hAnsi="Calibri" w:cs="Times New Roman"/>
          <w:sz w:val="24"/>
          <w:szCs w:val="24"/>
        </w:rPr>
        <w:t xml:space="preserve"> señalan que el pacto regulador de las relaciones económicas y patrimoniales de la pareja «deberá establecerse en escritura públ</w:t>
      </w:r>
      <w:r w:rsidR="00942130" w:rsidRPr="006730E3">
        <w:rPr>
          <w:rFonts w:ascii="Calibri" w:hAnsi="Calibri" w:cs="Times New Roman"/>
          <w:sz w:val="24"/>
          <w:szCs w:val="24"/>
        </w:rPr>
        <w:t>ica» para poder acceder al RPHG; c</w:t>
      </w:r>
      <w:r w:rsidR="00185BDB" w:rsidRPr="006730E3">
        <w:rPr>
          <w:rFonts w:ascii="Calibri" w:hAnsi="Calibri" w:cs="Times New Roman"/>
          <w:sz w:val="24"/>
          <w:szCs w:val="24"/>
        </w:rPr>
        <w:t>uestión distinta es la adecuación de que una norma reglamentaria, y no una norma de rango legal, sea la que establezca dicha exigencia.</w:t>
      </w:r>
      <w:r w:rsidR="00942130" w:rsidRPr="006730E3">
        <w:rPr>
          <w:rFonts w:ascii="Calibri" w:hAnsi="Calibri" w:cs="Times New Roman"/>
          <w:sz w:val="24"/>
          <w:szCs w:val="24"/>
        </w:rPr>
        <w:t xml:space="preserve"> </w:t>
      </w:r>
    </w:p>
    <w:p w:rsidR="00335E15" w:rsidRPr="006730E3" w:rsidRDefault="00942130" w:rsidP="00416B3A">
      <w:pPr>
        <w:spacing w:line="312" w:lineRule="auto"/>
        <w:jc w:val="both"/>
        <w:rPr>
          <w:rFonts w:ascii="Calibri" w:hAnsi="Calibri" w:cs="Times New Roman"/>
          <w:sz w:val="24"/>
          <w:szCs w:val="24"/>
        </w:rPr>
      </w:pPr>
      <w:r w:rsidRPr="006730E3">
        <w:rPr>
          <w:rFonts w:ascii="Calibri" w:hAnsi="Calibri" w:cs="Times New Roman"/>
          <w:sz w:val="24"/>
          <w:szCs w:val="24"/>
        </w:rPr>
        <w:t>Por ello, no compartimos aquella opinión según la cual el apartado tercero de la DAT es «perfectamente prescindible»</w:t>
      </w:r>
      <w:r w:rsidRPr="006730E3">
        <w:rPr>
          <w:rStyle w:val="Refdenotaalpie"/>
          <w:rFonts w:ascii="Calibri" w:hAnsi="Calibri" w:cs="Times New Roman"/>
          <w:sz w:val="24"/>
          <w:szCs w:val="24"/>
        </w:rPr>
        <w:footnoteReference w:id="85"/>
      </w:r>
      <w:r w:rsidR="000B29C7" w:rsidRPr="006730E3">
        <w:rPr>
          <w:rFonts w:ascii="Calibri" w:hAnsi="Calibri" w:cs="Times New Roman"/>
          <w:sz w:val="24"/>
          <w:szCs w:val="24"/>
        </w:rPr>
        <w:t>.</w:t>
      </w:r>
      <w:r w:rsidRPr="006730E3">
        <w:rPr>
          <w:rFonts w:ascii="Calibri" w:hAnsi="Calibri" w:cs="Times New Roman"/>
          <w:sz w:val="24"/>
          <w:szCs w:val="24"/>
        </w:rPr>
        <w:t xml:space="preserve"> </w:t>
      </w:r>
      <w:r w:rsidR="000B29C7" w:rsidRPr="006730E3">
        <w:rPr>
          <w:rFonts w:ascii="Calibri" w:hAnsi="Calibri" w:cs="Times New Roman"/>
          <w:sz w:val="24"/>
          <w:szCs w:val="24"/>
        </w:rPr>
        <w:t xml:space="preserve">Muy al contrario, </w:t>
      </w:r>
      <w:r w:rsidR="005E02A6" w:rsidRPr="006730E3">
        <w:rPr>
          <w:rFonts w:ascii="Calibri" w:hAnsi="Calibri" w:cs="Times New Roman"/>
          <w:sz w:val="24"/>
          <w:szCs w:val="24"/>
        </w:rPr>
        <w:t xml:space="preserve">el pacto en escritura pública es un aspecto </w:t>
      </w:r>
      <w:r w:rsidR="00335E15" w:rsidRPr="006730E3">
        <w:rPr>
          <w:rFonts w:ascii="Calibri" w:hAnsi="Calibri" w:cs="Times New Roman"/>
          <w:sz w:val="24"/>
          <w:szCs w:val="24"/>
        </w:rPr>
        <w:t>consustancial a</w:t>
      </w:r>
      <w:r w:rsidR="005E02A6" w:rsidRPr="006730E3">
        <w:rPr>
          <w:rFonts w:ascii="Calibri" w:hAnsi="Calibri" w:cs="Times New Roman"/>
          <w:sz w:val="24"/>
          <w:szCs w:val="24"/>
        </w:rPr>
        <w:t>l entramado registral que el legislador gallego ha argüido</w:t>
      </w:r>
      <w:r w:rsidR="00335E15" w:rsidRPr="006730E3">
        <w:rPr>
          <w:rFonts w:ascii="Calibri" w:hAnsi="Calibri" w:cs="Times New Roman"/>
          <w:sz w:val="24"/>
          <w:szCs w:val="24"/>
        </w:rPr>
        <w:t xml:space="preserve"> </w:t>
      </w:r>
      <w:r w:rsidR="005E02A6" w:rsidRPr="006730E3">
        <w:rPr>
          <w:rFonts w:ascii="Calibri" w:hAnsi="Calibri" w:cs="Times New Roman"/>
          <w:sz w:val="24"/>
          <w:szCs w:val="24"/>
        </w:rPr>
        <w:t>emulando el funcionamiento de los denominados registros jur</w:t>
      </w:r>
      <w:r w:rsidR="00335E15" w:rsidRPr="006730E3">
        <w:rPr>
          <w:rFonts w:ascii="Calibri" w:hAnsi="Calibri" w:cs="Times New Roman"/>
          <w:sz w:val="24"/>
          <w:szCs w:val="24"/>
        </w:rPr>
        <w:t>ídicos o de efectos civiles. La misma publicidad</w:t>
      </w:r>
      <w:r w:rsidR="001E01C9" w:rsidRPr="006730E3">
        <w:rPr>
          <w:rFonts w:ascii="Calibri" w:hAnsi="Calibri" w:cs="Times New Roman"/>
          <w:sz w:val="24"/>
          <w:szCs w:val="24"/>
        </w:rPr>
        <w:t xml:space="preserve"> que se concede al matrimonio y al régimen económico legal o pactado para su </w:t>
      </w:r>
      <w:proofErr w:type="spellStart"/>
      <w:r w:rsidR="001E01C9" w:rsidRPr="006730E3">
        <w:rPr>
          <w:rFonts w:ascii="Calibri" w:hAnsi="Calibri" w:cs="Times New Roman"/>
          <w:sz w:val="24"/>
          <w:szCs w:val="24"/>
        </w:rPr>
        <w:t>oponibilidad</w:t>
      </w:r>
      <w:proofErr w:type="spellEnd"/>
      <w:r w:rsidR="001E01C9" w:rsidRPr="006730E3">
        <w:rPr>
          <w:rFonts w:ascii="Calibri" w:hAnsi="Calibri" w:cs="Times New Roman"/>
          <w:sz w:val="24"/>
          <w:szCs w:val="24"/>
        </w:rPr>
        <w:t xml:space="preserve"> en </w:t>
      </w:r>
      <w:r w:rsidR="00AD4BCB" w:rsidRPr="006730E3">
        <w:rPr>
          <w:rFonts w:ascii="Calibri" w:hAnsi="Calibri" w:cs="Times New Roman"/>
          <w:sz w:val="24"/>
          <w:szCs w:val="24"/>
        </w:rPr>
        <w:t xml:space="preserve">el </w:t>
      </w:r>
      <w:r w:rsidR="001E01C9" w:rsidRPr="006730E3">
        <w:rPr>
          <w:rFonts w:ascii="Calibri" w:hAnsi="Calibri" w:cs="Times New Roman"/>
          <w:sz w:val="24"/>
          <w:szCs w:val="24"/>
        </w:rPr>
        <w:t>tráfico (</w:t>
      </w:r>
      <w:r w:rsidR="00AD4BCB" w:rsidRPr="006730E3">
        <w:rPr>
          <w:rFonts w:ascii="Calibri" w:hAnsi="Calibri" w:cs="Times New Roman"/>
          <w:sz w:val="24"/>
          <w:szCs w:val="24"/>
        </w:rPr>
        <w:t>art</w:t>
      </w:r>
      <w:r w:rsidR="001E01C9" w:rsidRPr="006730E3">
        <w:rPr>
          <w:rFonts w:ascii="Calibri" w:hAnsi="Calibri" w:cs="Times New Roman"/>
          <w:sz w:val="24"/>
          <w:szCs w:val="24"/>
        </w:rPr>
        <w:t xml:space="preserve">. 61 CC y </w:t>
      </w:r>
      <w:r w:rsidR="00AD4BCB" w:rsidRPr="006730E3">
        <w:rPr>
          <w:rFonts w:ascii="Calibri" w:hAnsi="Calibri" w:cs="Times New Roman"/>
          <w:sz w:val="24"/>
          <w:szCs w:val="24"/>
        </w:rPr>
        <w:t xml:space="preserve">arts. 59 y </w:t>
      </w:r>
      <w:r w:rsidR="001E01C9" w:rsidRPr="006730E3">
        <w:rPr>
          <w:rFonts w:ascii="Calibri" w:hAnsi="Calibri" w:cs="Times New Roman"/>
          <w:sz w:val="24"/>
          <w:szCs w:val="24"/>
        </w:rPr>
        <w:t>60 de la Ley 20/2011, de 21 de julio, del Registro Civil, en adelante, LRC), tambi</w:t>
      </w:r>
      <w:r w:rsidR="00AD4BCB" w:rsidRPr="006730E3">
        <w:rPr>
          <w:rFonts w:ascii="Calibri" w:hAnsi="Calibri" w:cs="Times New Roman"/>
          <w:sz w:val="24"/>
          <w:szCs w:val="24"/>
        </w:rPr>
        <w:t>én</w:t>
      </w:r>
      <w:r w:rsidR="001E01C9" w:rsidRPr="006730E3">
        <w:rPr>
          <w:rFonts w:ascii="Calibri" w:hAnsi="Calibri" w:cs="Times New Roman"/>
          <w:sz w:val="24"/>
          <w:szCs w:val="24"/>
        </w:rPr>
        <w:t xml:space="preserve"> pretende otorgarla</w:t>
      </w:r>
      <w:r w:rsidR="005C74F7" w:rsidRPr="006730E3">
        <w:rPr>
          <w:rFonts w:ascii="Calibri" w:hAnsi="Calibri" w:cs="Times New Roman"/>
          <w:sz w:val="24"/>
          <w:szCs w:val="24"/>
        </w:rPr>
        <w:t xml:space="preserve"> la LDCG </w:t>
      </w:r>
      <w:r w:rsidR="00AD4BCB" w:rsidRPr="006730E3">
        <w:rPr>
          <w:rFonts w:ascii="Calibri" w:hAnsi="Calibri" w:cs="Times New Roman"/>
          <w:sz w:val="24"/>
          <w:szCs w:val="24"/>
        </w:rPr>
        <w:t>a la pareja «de hecho» formalizada y al régimen económico que las partes libremente establezcan</w:t>
      </w:r>
      <w:r w:rsidR="008E7109" w:rsidRPr="006730E3">
        <w:rPr>
          <w:rFonts w:ascii="Calibri" w:hAnsi="Calibri" w:cs="Times New Roman"/>
          <w:sz w:val="24"/>
          <w:szCs w:val="24"/>
        </w:rPr>
        <w:t>; si bien dicho régimen se somete</w:t>
      </w:r>
      <w:r w:rsidR="005C74F7" w:rsidRPr="006730E3">
        <w:rPr>
          <w:rFonts w:ascii="Calibri" w:hAnsi="Calibri" w:cs="Times New Roman"/>
          <w:sz w:val="24"/>
          <w:szCs w:val="24"/>
        </w:rPr>
        <w:t xml:space="preserve">, </w:t>
      </w:r>
      <w:r w:rsidR="001D0438" w:rsidRPr="006730E3">
        <w:rPr>
          <w:rFonts w:ascii="Calibri" w:hAnsi="Calibri" w:cs="Times New Roman"/>
          <w:sz w:val="24"/>
          <w:szCs w:val="24"/>
        </w:rPr>
        <w:t>al igual que</w:t>
      </w:r>
      <w:r w:rsidR="005C74F7" w:rsidRPr="006730E3">
        <w:rPr>
          <w:rFonts w:ascii="Calibri" w:hAnsi="Calibri" w:cs="Times New Roman"/>
          <w:sz w:val="24"/>
          <w:szCs w:val="24"/>
        </w:rPr>
        <w:t xml:space="preserve"> el pacto de los cónyuges en capitulaciones matrimoniales,</w:t>
      </w:r>
      <w:r w:rsidR="008E7109" w:rsidRPr="006730E3">
        <w:rPr>
          <w:rFonts w:ascii="Calibri" w:hAnsi="Calibri" w:cs="Times New Roman"/>
          <w:sz w:val="24"/>
          <w:szCs w:val="24"/>
        </w:rPr>
        <w:t xml:space="preserve"> a </w:t>
      </w:r>
      <w:r w:rsidR="008E7109" w:rsidRPr="006730E3">
        <w:rPr>
          <w:rFonts w:ascii="Calibri" w:hAnsi="Calibri" w:cs="Times New Roman"/>
          <w:sz w:val="24"/>
          <w:szCs w:val="24"/>
        </w:rPr>
        <w:lastRenderedPageBreak/>
        <w:t>la fiscalización del fedatario p</w:t>
      </w:r>
      <w:r w:rsidR="00136FA8" w:rsidRPr="006730E3">
        <w:rPr>
          <w:rFonts w:ascii="Calibri" w:hAnsi="Calibri" w:cs="Times New Roman"/>
          <w:sz w:val="24"/>
          <w:szCs w:val="24"/>
        </w:rPr>
        <w:t>úblico para asegurar el respeto</w:t>
      </w:r>
      <w:r w:rsidR="005C74F7" w:rsidRPr="006730E3">
        <w:rPr>
          <w:rFonts w:ascii="Calibri" w:hAnsi="Calibri" w:cs="Times New Roman"/>
          <w:sz w:val="24"/>
          <w:szCs w:val="24"/>
        </w:rPr>
        <w:t xml:space="preserve"> de la igualdad de los convivientes</w:t>
      </w:r>
      <w:r w:rsidR="00AD4BCB" w:rsidRPr="006730E3">
        <w:rPr>
          <w:rFonts w:ascii="Calibri" w:hAnsi="Calibri" w:cs="Times New Roman"/>
          <w:sz w:val="24"/>
          <w:szCs w:val="24"/>
        </w:rPr>
        <w:t>,</w:t>
      </w:r>
      <w:r w:rsidR="00136FA8" w:rsidRPr="006730E3">
        <w:rPr>
          <w:rFonts w:ascii="Calibri" w:hAnsi="Calibri" w:cs="Times New Roman"/>
          <w:sz w:val="24"/>
          <w:szCs w:val="24"/>
        </w:rPr>
        <w:t xml:space="preserve"> </w:t>
      </w:r>
      <w:r w:rsidR="00AD4BCB" w:rsidRPr="006730E3">
        <w:rPr>
          <w:rFonts w:ascii="Calibri" w:hAnsi="Calibri" w:cs="Times New Roman"/>
          <w:sz w:val="24"/>
          <w:szCs w:val="24"/>
        </w:rPr>
        <w:t>su</w:t>
      </w:r>
      <w:r w:rsidR="00136FA8" w:rsidRPr="006730E3">
        <w:rPr>
          <w:rFonts w:ascii="Calibri" w:hAnsi="Calibri" w:cs="Times New Roman"/>
          <w:sz w:val="24"/>
          <w:szCs w:val="24"/>
        </w:rPr>
        <w:t xml:space="preserve"> autonomía de la voluntad </w:t>
      </w:r>
      <w:r w:rsidR="00AD4BCB" w:rsidRPr="006730E3">
        <w:rPr>
          <w:rFonts w:ascii="Calibri" w:hAnsi="Calibri" w:cs="Times New Roman"/>
          <w:sz w:val="24"/>
          <w:szCs w:val="24"/>
        </w:rPr>
        <w:t>y la legalidad vigente</w:t>
      </w:r>
      <w:r w:rsidR="005C74F7" w:rsidRPr="006730E3">
        <w:rPr>
          <w:rFonts w:ascii="Calibri" w:hAnsi="Calibri" w:cs="Times New Roman"/>
          <w:sz w:val="24"/>
          <w:szCs w:val="24"/>
        </w:rPr>
        <w:t>.</w:t>
      </w:r>
    </w:p>
    <w:p w:rsidR="00862C17" w:rsidRPr="006730E3" w:rsidRDefault="005C74F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cualquier caso, como hemos comentado al comienzo de este apartado, </w:t>
      </w:r>
      <w:r w:rsidR="00AA1370" w:rsidRPr="006730E3">
        <w:rPr>
          <w:rFonts w:ascii="Calibri" w:hAnsi="Calibri" w:cs="Times New Roman"/>
          <w:sz w:val="24"/>
          <w:szCs w:val="24"/>
        </w:rPr>
        <w:t>dudamos</w:t>
      </w:r>
      <w:r w:rsidRPr="006730E3">
        <w:rPr>
          <w:rFonts w:ascii="Calibri" w:hAnsi="Calibri" w:cs="Times New Roman"/>
          <w:sz w:val="24"/>
          <w:szCs w:val="24"/>
        </w:rPr>
        <w:t xml:space="preserve"> que el legislador gallego </w:t>
      </w:r>
      <w:r w:rsidR="00AA1370" w:rsidRPr="006730E3">
        <w:rPr>
          <w:rFonts w:ascii="Calibri" w:hAnsi="Calibri" w:cs="Times New Roman"/>
          <w:sz w:val="24"/>
          <w:szCs w:val="24"/>
        </w:rPr>
        <w:t>tenga atribuidas las competencias suficientes</w:t>
      </w:r>
      <w:r w:rsidRPr="006730E3">
        <w:rPr>
          <w:rFonts w:ascii="Calibri" w:hAnsi="Calibri" w:cs="Times New Roman"/>
          <w:sz w:val="24"/>
          <w:szCs w:val="24"/>
        </w:rPr>
        <w:t xml:space="preserve"> para dotar de plena eficacia a toda esta estructura</w:t>
      </w:r>
      <w:r w:rsidR="00AA1370" w:rsidRPr="006730E3">
        <w:rPr>
          <w:rFonts w:ascii="Calibri" w:hAnsi="Calibri" w:cs="Times New Roman"/>
          <w:sz w:val="24"/>
          <w:szCs w:val="24"/>
        </w:rPr>
        <w:t xml:space="preserve"> y satisfacer así las expectativas de quienes se haya sometido a la misma. Del mismo modo, tampoco creemos que la haya conseguido implementar de forma eficaz.</w:t>
      </w:r>
    </w:p>
    <w:p w:rsidR="00D67D92" w:rsidRPr="006730E3" w:rsidRDefault="00D67D92" w:rsidP="00416B3A">
      <w:pPr>
        <w:spacing w:line="312" w:lineRule="auto"/>
        <w:jc w:val="both"/>
        <w:rPr>
          <w:rFonts w:ascii="Calibri" w:hAnsi="Calibri" w:cs="Times New Roman"/>
          <w:sz w:val="24"/>
          <w:szCs w:val="24"/>
        </w:rPr>
      </w:pPr>
    </w:p>
    <w:p w:rsidR="00862C17" w:rsidRPr="00A81597" w:rsidRDefault="00686588" w:rsidP="00416B3A">
      <w:pPr>
        <w:spacing w:line="312" w:lineRule="auto"/>
        <w:jc w:val="both"/>
        <w:rPr>
          <w:rFonts w:ascii="Calibri" w:hAnsi="Calibri" w:cs="Times New Roman"/>
          <w:sz w:val="24"/>
          <w:szCs w:val="24"/>
        </w:rPr>
      </w:pPr>
      <w:r w:rsidRPr="00A81597">
        <w:rPr>
          <w:rFonts w:ascii="Calibri" w:hAnsi="Calibri" w:cs="Times New Roman"/>
          <w:sz w:val="24"/>
          <w:szCs w:val="24"/>
        </w:rPr>
        <w:t>2.2.2. L</w:t>
      </w:r>
      <w:r w:rsidR="002E60FE" w:rsidRPr="00A81597">
        <w:rPr>
          <w:rFonts w:ascii="Calibri" w:hAnsi="Calibri" w:cs="Times New Roman"/>
          <w:sz w:val="24"/>
          <w:szCs w:val="24"/>
        </w:rPr>
        <w:t>as competencias del legislador gallego para crear el RPHG</w:t>
      </w:r>
    </w:p>
    <w:p w:rsidR="00D328F3" w:rsidRPr="006730E3" w:rsidRDefault="002E60FE"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rPr>
        <w:t>Algunos comentaristas, insistiendo en su ánimo de minimizar el verdadero alcance del sistema creado por la DAT, no atribuyen</w:t>
      </w:r>
      <w:r w:rsidR="0071595F" w:rsidRPr="006730E3">
        <w:rPr>
          <w:rFonts w:ascii="Calibri" w:hAnsi="Calibri" w:cs="Times New Roman"/>
          <w:sz w:val="24"/>
          <w:szCs w:val="24"/>
        </w:rPr>
        <w:t xml:space="preserve"> al RPHG</w:t>
      </w:r>
      <w:r w:rsidRPr="006730E3">
        <w:rPr>
          <w:rFonts w:ascii="Calibri" w:hAnsi="Calibri" w:cs="Times New Roman"/>
          <w:sz w:val="24"/>
          <w:szCs w:val="24"/>
        </w:rPr>
        <w:t xml:space="preserve"> ninguna virtualidad en </w:t>
      </w:r>
      <w:r w:rsidR="0071595F" w:rsidRPr="006730E3">
        <w:rPr>
          <w:rFonts w:ascii="Calibri" w:hAnsi="Calibri" w:cs="Times New Roman"/>
          <w:sz w:val="24"/>
          <w:szCs w:val="24"/>
        </w:rPr>
        <w:t>el ámbito civil ni le dedican una particular atención en sus estudios. Afirman que se trata de un registro de naturaleza administrativa, de mera publicidad informativa</w:t>
      </w:r>
      <w:r w:rsidR="00D328F3" w:rsidRPr="006730E3">
        <w:rPr>
          <w:rFonts w:ascii="Calibri" w:hAnsi="Calibri" w:cs="Times New Roman"/>
          <w:sz w:val="24"/>
          <w:szCs w:val="24"/>
        </w:rPr>
        <w:t>, dado que es el único tipo de registros que una comunidad autónoma puede crear en atención a la reserva que el art. 149.1.8</w:t>
      </w:r>
      <w:r w:rsidR="00435A12" w:rsidRPr="006730E3">
        <w:rPr>
          <w:rFonts w:ascii="Calibri" w:hAnsi="Calibri" w:cs="Times New Roman"/>
          <w:sz w:val="24"/>
          <w:szCs w:val="24"/>
        </w:rPr>
        <w:t>ª</w:t>
      </w:r>
      <w:r w:rsidR="00D328F3" w:rsidRPr="006730E3">
        <w:rPr>
          <w:rFonts w:ascii="Calibri" w:hAnsi="Calibri" w:cs="Times New Roman"/>
          <w:sz w:val="24"/>
          <w:szCs w:val="24"/>
        </w:rPr>
        <w:t xml:space="preserve"> CE realiza</w:t>
      </w:r>
      <w:r w:rsidR="001D0438" w:rsidRPr="006730E3">
        <w:rPr>
          <w:rFonts w:ascii="Calibri" w:hAnsi="Calibri" w:cs="Times New Roman"/>
          <w:sz w:val="24"/>
          <w:szCs w:val="24"/>
        </w:rPr>
        <w:t>,</w:t>
      </w:r>
      <w:r w:rsidR="00D328F3" w:rsidRPr="006730E3">
        <w:rPr>
          <w:rFonts w:ascii="Calibri" w:hAnsi="Calibri" w:cs="Times New Roman"/>
          <w:sz w:val="24"/>
          <w:szCs w:val="24"/>
        </w:rPr>
        <w:t xml:space="preserve"> como competencia exclusiva del Estado</w:t>
      </w:r>
      <w:r w:rsidR="001D0438" w:rsidRPr="006730E3">
        <w:rPr>
          <w:rFonts w:ascii="Calibri" w:hAnsi="Calibri" w:cs="Times New Roman"/>
          <w:sz w:val="24"/>
          <w:szCs w:val="24"/>
        </w:rPr>
        <w:t>,</w:t>
      </w:r>
      <w:r w:rsidR="00D328F3" w:rsidRPr="006730E3">
        <w:rPr>
          <w:rFonts w:ascii="Calibri" w:hAnsi="Calibri" w:cs="Times New Roman"/>
          <w:sz w:val="24"/>
          <w:szCs w:val="24"/>
        </w:rPr>
        <w:t xml:space="preserve"> de la </w:t>
      </w:r>
      <w:r w:rsidR="00D328F3" w:rsidRPr="006730E3">
        <w:rPr>
          <w:rFonts w:ascii="Calibri" w:hAnsi="Calibri" w:cs="Times New Roman"/>
          <w:sz w:val="24"/>
          <w:szCs w:val="24"/>
          <w:shd w:val="clear" w:color="auto" w:fill="FFFFFF"/>
        </w:rPr>
        <w:t>ordenación de los re</w:t>
      </w:r>
      <w:r w:rsidR="001D0438" w:rsidRPr="006730E3">
        <w:rPr>
          <w:rFonts w:ascii="Calibri" w:hAnsi="Calibri" w:cs="Times New Roman"/>
          <w:sz w:val="24"/>
          <w:szCs w:val="24"/>
          <w:shd w:val="clear" w:color="auto" w:fill="FFFFFF"/>
        </w:rPr>
        <w:t>gistros e instrumentos públicos</w:t>
      </w:r>
      <w:r w:rsidR="00D328F3" w:rsidRPr="006730E3">
        <w:rPr>
          <w:rFonts w:ascii="Calibri" w:hAnsi="Calibri" w:cs="Times New Roman"/>
          <w:sz w:val="24"/>
          <w:szCs w:val="24"/>
          <w:shd w:val="clear" w:color="auto" w:fill="FFFFFF"/>
        </w:rPr>
        <w:t xml:space="preserve"> entre otras cuestiones atinentes a la legislación civil. Según estos autores, </w:t>
      </w:r>
      <w:r w:rsidR="00862C17" w:rsidRPr="006730E3">
        <w:rPr>
          <w:rFonts w:ascii="Calibri" w:hAnsi="Calibri" w:cs="Times New Roman"/>
          <w:sz w:val="24"/>
          <w:szCs w:val="24"/>
          <w:shd w:val="clear" w:color="auto" w:fill="FFFFFF"/>
        </w:rPr>
        <w:t>el RPHG ni produce efectos frente a terceros</w:t>
      </w:r>
      <w:r w:rsidR="00862C17" w:rsidRPr="006730E3">
        <w:rPr>
          <w:rStyle w:val="Refdenotaalpie"/>
          <w:rFonts w:ascii="Calibri" w:hAnsi="Calibri" w:cs="Times New Roman"/>
          <w:sz w:val="24"/>
          <w:szCs w:val="24"/>
          <w:shd w:val="clear" w:color="auto" w:fill="FFFFFF"/>
        </w:rPr>
        <w:footnoteReference w:id="86"/>
      </w:r>
      <w:r w:rsidR="00862C17" w:rsidRPr="006730E3">
        <w:rPr>
          <w:rFonts w:ascii="Calibri" w:hAnsi="Calibri" w:cs="Times New Roman"/>
          <w:sz w:val="24"/>
          <w:szCs w:val="24"/>
          <w:shd w:val="clear" w:color="auto" w:fill="FFFFFF"/>
        </w:rPr>
        <w:t xml:space="preserve"> ni permite presumir </w:t>
      </w:r>
      <w:r w:rsidR="00D8793F" w:rsidRPr="006730E3">
        <w:rPr>
          <w:rFonts w:ascii="Calibri" w:hAnsi="Calibri" w:cs="Times New Roman"/>
          <w:sz w:val="24"/>
          <w:szCs w:val="24"/>
          <w:shd w:val="clear" w:color="auto" w:fill="FFFFFF"/>
        </w:rPr>
        <w:t>la existencia y validez de la pareja inscrita</w:t>
      </w:r>
      <w:r w:rsidR="00862C17" w:rsidRPr="006730E3">
        <w:rPr>
          <w:rStyle w:val="Refdenotaalpie"/>
          <w:rFonts w:ascii="Calibri" w:hAnsi="Calibri" w:cs="Times New Roman"/>
          <w:sz w:val="24"/>
          <w:szCs w:val="24"/>
          <w:shd w:val="clear" w:color="auto" w:fill="FFFFFF"/>
        </w:rPr>
        <w:footnoteReference w:id="87"/>
      </w:r>
      <w:r w:rsidR="00862C17" w:rsidRPr="006730E3">
        <w:rPr>
          <w:rFonts w:ascii="Calibri" w:hAnsi="Calibri" w:cs="Times New Roman"/>
          <w:sz w:val="24"/>
          <w:szCs w:val="24"/>
          <w:shd w:val="clear" w:color="auto" w:fill="FFFFFF"/>
        </w:rPr>
        <w:t>.</w:t>
      </w:r>
    </w:p>
    <w:p w:rsidR="0096418E" w:rsidRPr="006730E3" w:rsidRDefault="00862C17"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Sin embargo, </w:t>
      </w:r>
      <w:r w:rsidR="00D8793F" w:rsidRPr="006730E3">
        <w:rPr>
          <w:rFonts w:ascii="Calibri" w:hAnsi="Calibri" w:cs="Times New Roman"/>
          <w:sz w:val="24"/>
          <w:szCs w:val="24"/>
          <w:shd w:val="clear" w:color="auto" w:fill="FFFFFF"/>
        </w:rPr>
        <w:t>estas apreciaciones, que nuevamente valoran lo que la ley debería</w:t>
      </w:r>
      <w:r w:rsidR="00E049DF" w:rsidRPr="006730E3">
        <w:rPr>
          <w:rFonts w:ascii="Calibri" w:hAnsi="Calibri" w:cs="Times New Roman"/>
          <w:sz w:val="24"/>
          <w:szCs w:val="24"/>
          <w:shd w:val="clear" w:color="auto" w:fill="FFFFFF"/>
        </w:rPr>
        <w:t xml:space="preserve"> (a su juicio)</w:t>
      </w:r>
      <w:r w:rsidR="00D8793F" w:rsidRPr="006730E3">
        <w:rPr>
          <w:rFonts w:ascii="Calibri" w:hAnsi="Calibri" w:cs="Times New Roman"/>
          <w:sz w:val="24"/>
          <w:szCs w:val="24"/>
          <w:shd w:val="clear" w:color="auto" w:fill="FFFFFF"/>
        </w:rPr>
        <w:t xml:space="preserve"> </w:t>
      </w:r>
      <w:r w:rsidR="00002DA9" w:rsidRPr="006730E3">
        <w:rPr>
          <w:rFonts w:ascii="Calibri" w:hAnsi="Calibri" w:cs="Times New Roman"/>
          <w:sz w:val="24"/>
          <w:szCs w:val="24"/>
          <w:shd w:val="clear" w:color="auto" w:fill="FFFFFF"/>
        </w:rPr>
        <w:t>decir</w:t>
      </w:r>
      <w:r w:rsidR="00D8793F" w:rsidRPr="006730E3">
        <w:rPr>
          <w:rFonts w:ascii="Calibri" w:hAnsi="Calibri" w:cs="Times New Roman"/>
          <w:sz w:val="24"/>
          <w:szCs w:val="24"/>
          <w:shd w:val="clear" w:color="auto" w:fill="FFFFFF"/>
        </w:rPr>
        <w:t xml:space="preserve"> y no lo que efectivamente </w:t>
      </w:r>
      <w:r w:rsidR="00002DA9" w:rsidRPr="006730E3">
        <w:rPr>
          <w:rFonts w:ascii="Calibri" w:hAnsi="Calibri" w:cs="Times New Roman"/>
          <w:sz w:val="24"/>
          <w:szCs w:val="24"/>
          <w:shd w:val="clear" w:color="auto" w:fill="FFFFFF"/>
        </w:rPr>
        <w:t>dice</w:t>
      </w:r>
      <w:r w:rsidR="00D8793F" w:rsidRPr="006730E3">
        <w:rPr>
          <w:rFonts w:ascii="Calibri" w:hAnsi="Calibri" w:cs="Times New Roman"/>
          <w:sz w:val="24"/>
          <w:szCs w:val="24"/>
          <w:shd w:val="clear" w:color="auto" w:fill="FFFFFF"/>
        </w:rPr>
        <w:t>, reducen indebidamente, e incluso eliminan, el análisis del alcance</w:t>
      </w:r>
      <w:r w:rsidR="00435A12" w:rsidRPr="006730E3">
        <w:rPr>
          <w:rFonts w:ascii="Calibri" w:hAnsi="Calibri" w:cs="Times New Roman"/>
          <w:sz w:val="24"/>
          <w:szCs w:val="24"/>
          <w:shd w:val="clear" w:color="auto" w:fill="FFFFFF"/>
        </w:rPr>
        <w:t xml:space="preserve"> y naturaleza</w:t>
      </w:r>
      <w:r w:rsidR="00D8793F" w:rsidRPr="006730E3">
        <w:rPr>
          <w:rFonts w:ascii="Calibri" w:hAnsi="Calibri" w:cs="Times New Roman"/>
          <w:sz w:val="24"/>
          <w:szCs w:val="24"/>
          <w:shd w:val="clear" w:color="auto" w:fill="FFFFFF"/>
        </w:rPr>
        <w:t xml:space="preserve"> de este tipo de registros.</w:t>
      </w:r>
    </w:p>
    <w:p w:rsidR="004C1487" w:rsidRPr="006730E3" w:rsidRDefault="00435A12"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La </w:t>
      </w:r>
      <w:r w:rsidR="0098320A" w:rsidRPr="006730E3">
        <w:rPr>
          <w:rFonts w:ascii="Calibri" w:hAnsi="Calibri" w:cs="Times New Roman"/>
          <w:sz w:val="24"/>
          <w:szCs w:val="24"/>
          <w:shd w:val="clear" w:color="auto" w:fill="FFFFFF"/>
        </w:rPr>
        <w:t>jurisprudencia</w:t>
      </w:r>
      <w:r w:rsidRPr="006730E3">
        <w:rPr>
          <w:rFonts w:ascii="Calibri" w:hAnsi="Calibri" w:cs="Times New Roman"/>
          <w:sz w:val="24"/>
          <w:szCs w:val="24"/>
          <w:shd w:val="clear" w:color="auto" w:fill="FFFFFF"/>
        </w:rPr>
        <w:t xml:space="preserve"> del TC se muestra lineal en cuanto a qué tipos de registros queda circunscrita la c</w:t>
      </w:r>
      <w:r w:rsidR="006641E7" w:rsidRPr="006730E3">
        <w:rPr>
          <w:rFonts w:ascii="Calibri" w:hAnsi="Calibri" w:cs="Times New Roman"/>
          <w:sz w:val="24"/>
          <w:szCs w:val="24"/>
          <w:shd w:val="clear" w:color="auto" w:fill="FFFFFF"/>
        </w:rPr>
        <w:t>ompetencia exclusiva del Estado.</w:t>
      </w:r>
      <w:r w:rsidRPr="006730E3">
        <w:rPr>
          <w:rFonts w:ascii="Calibri" w:hAnsi="Calibri" w:cs="Times New Roman"/>
          <w:sz w:val="24"/>
          <w:szCs w:val="24"/>
          <w:shd w:val="clear" w:color="auto" w:fill="FFFFFF"/>
        </w:rPr>
        <w:t xml:space="preserve"> Según la STC </w:t>
      </w:r>
      <w:r w:rsidRPr="006730E3">
        <w:rPr>
          <w:rFonts w:ascii="Calibri" w:hAnsi="Calibri" w:cs="Times New Roman"/>
          <w:sz w:val="24"/>
          <w:szCs w:val="24"/>
        </w:rPr>
        <w:t>71/1983, de 29 julio,</w:t>
      </w:r>
      <w:r w:rsidRPr="006730E3">
        <w:rPr>
          <w:rStyle w:val="Refdenotaalpie"/>
          <w:rFonts w:ascii="Calibri" w:hAnsi="Calibri" w:cs="Times New Roman"/>
          <w:sz w:val="24"/>
          <w:szCs w:val="24"/>
        </w:rPr>
        <w:footnoteReference w:id="88"/>
      </w:r>
      <w:r w:rsidRPr="006730E3">
        <w:rPr>
          <w:rFonts w:ascii="Calibri" w:hAnsi="Calibri" w:cs="Times New Roman"/>
          <w:sz w:val="24"/>
          <w:szCs w:val="24"/>
        </w:rPr>
        <w:t xml:space="preserve"> «</w:t>
      </w:r>
      <w:r w:rsidRPr="006730E3">
        <w:rPr>
          <w:rFonts w:ascii="Calibri" w:hAnsi="Calibri" w:cs="Times New Roman"/>
          <w:bCs/>
          <w:sz w:val="24"/>
          <w:szCs w:val="24"/>
        </w:rPr>
        <w:t>los Registros a que se refiere el artículo 149.1.8 de la Constitución son los referentes fundamentalmente a materias de Derecho privado, como se infiere de su contexto, y no a otros Registros  que (…) aunque tengan repercusiones en ese campo del Derecho, tiene por objeto materias ajenas a él (…)</w:t>
      </w:r>
      <w:r w:rsidRPr="006730E3">
        <w:rPr>
          <w:rFonts w:ascii="Calibri" w:hAnsi="Calibri" w:cs="Times New Roman"/>
          <w:sz w:val="24"/>
          <w:szCs w:val="24"/>
        </w:rPr>
        <w:t>»</w:t>
      </w:r>
      <w:r w:rsidR="006641E7" w:rsidRPr="006730E3">
        <w:rPr>
          <w:rStyle w:val="Refdenotaalpie"/>
          <w:rFonts w:ascii="Calibri" w:hAnsi="Calibri" w:cs="Times New Roman"/>
          <w:sz w:val="24"/>
          <w:szCs w:val="24"/>
        </w:rPr>
        <w:footnoteReference w:id="89"/>
      </w:r>
      <w:r w:rsidR="006641E7" w:rsidRPr="006730E3">
        <w:rPr>
          <w:rFonts w:ascii="Calibri" w:hAnsi="Calibri" w:cs="Times New Roman"/>
          <w:sz w:val="24"/>
          <w:szCs w:val="24"/>
        </w:rPr>
        <w:t>.</w:t>
      </w:r>
      <w:r w:rsidR="004C1487" w:rsidRPr="006730E3">
        <w:rPr>
          <w:rFonts w:ascii="Calibri" w:hAnsi="Calibri" w:cs="Times New Roman"/>
          <w:sz w:val="24"/>
          <w:szCs w:val="24"/>
        </w:rPr>
        <w:t xml:space="preserve"> </w:t>
      </w:r>
      <w:r w:rsidR="00C87F20" w:rsidRPr="006730E3">
        <w:rPr>
          <w:rFonts w:ascii="Calibri" w:hAnsi="Calibri" w:cs="Times New Roman"/>
          <w:sz w:val="24"/>
          <w:szCs w:val="24"/>
        </w:rPr>
        <w:t>En este sentido</w:t>
      </w:r>
      <w:r w:rsidR="004C1487" w:rsidRPr="006730E3">
        <w:rPr>
          <w:rFonts w:ascii="Calibri" w:hAnsi="Calibri" w:cs="Times New Roman"/>
          <w:sz w:val="24"/>
          <w:szCs w:val="24"/>
        </w:rPr>
        <w:t>,</w:t>
      </w:r>
      <w:r w:rsidR="006641E7" w:rsidRPr="006730E3">
        <w:rPr>
          <w:rFonts w:ascii="Calibri" w:hAnsi="Calibri" w:cs="Times New Roman"/>
          <w:sz w:val="24"/>
          <w:szCs w:val="24"/>
        </w:rPr>
        <w:t xml:space="preserve"> la </w:t>
      </w:r>
      <w:r w:rsidR="005C39BF" w:rsidRPr="006730E3">
        <w:rPr>
          <w:rFonts w:ascii="Calibri" w:hAnsi="Calibri" w:cs="Times New Roman"/>
          <w:sz w:val="24"/>
          <w:szCs w:val="24"/>
        </w:rPr>
        <w:t xml:space="preserve">anteriormente citada </w:t>
      </w:r>
      <w:r w:rsidR="006641E7" w:rsidRPr="006730E3">
        <w:rPr>
          <w:rFonts w:ascii="Calibri" w:hAnsi="Calibri" w:cs="Times New Roman"/>
          <w:sz w:val="24"/>
          <w:szCs w:val="24"/>
        </w:rPr>
        <w:t>STC</w:t>
      </w:r>
      <w:r w:rsidR="004C1487" w:rsidRPr="006730E3">
        <w:rPr>
          <w:rFonts w:ascii="Calibri" w:hAnsi="Calibri" w:cs="Times New Roman"/>
          <w:sz w:val="24"/>
          <w:szCs w:val="24"/>
        </w:rPr>
        <w:t xml:space="preserve"> </w:t>
      </w:r>
      <w:r w:rsidR="004C1487" w:rsidRPr="006730E3">
        <w:rPr>
          <w:rFonts w:ascii="Calibri" w:hAnsi="Calibri" w:cs="Times New Roman"/>
          <w:bCs/>
          <w:sz w:val="24"/>
          <w:szCs w:val="24"/>
        </w:rPr>
        <w:t>81/2013, de 11 abril</w:t>
      </w:r>
      <w:r w:rsidR="005E4F48" w:rsidRPr="006730E3">
        <w:rPr>
          <w:rFonts w:ascii="Calibri" w:hAnsi="Calibri" w:cs="Times New Roman"/>
          <w:bCs/>
          <w:sz w:val="24"/>
          <w:szCs w:val="24"/>
        </w:rPr>
        <w:t>,</w:t>
      </w:r>
      <w:r w:rsidR="004C1487" w:rsidRPr="006730E3">
        <w:rPr>
          <w:rFonts w:ascii="Calibri" w:hAnsi="Calibri" w:cs="Times New Roman"/>
          <w:bCs/>
          <w:sz w:val="24"/>
          <w:szCs w:val="24"/>
        </w:rPr>
        <w:t xml:space="preserve"> es especialmente ilustrativa porque, aparte de reiterar la jurisprudencia anterior, la aplica al caso del registro de parejas creado por la </w:t>
      </w:r>
      <w:r w:rsidR="004C1487" w:rsidRPr="006730E3">
        <w:rPr>
          <w:rFonts w:ascii="Calibri" w:hAnsi="Calibri" w:cs="Times New Roman"/>
          <w:sz w:val="24"/>
          <w:szCs w:val="24"/>
        </w:rPr>
        <w:t xml:space="preserve">Ley de la Asamblea de Madrid 11/2001, </w:t>
      </w:r>
      <w:r w:rsidR="004C1487" w:rsidRPr="006730E3">
        <w:rPr>
          <w:rFonts w:ascii="Calibri" w:hAnsi="Calibri" w:cs="Times New Roman"/>
          <w:sz w:val="24"/>
          <w:szCs w:val="24"/>
        </w:rPr>
        <w:lastRenderedPageBreak/>
        <w:t>de 19 de diciembre, de uniones de hecho.</w:t>
      </w:r>
      <w:r w:rsidR="004C1487" w:rsidRPr="006730E3">
        <w:rPr>
          <w:rFonts w:ascii="Calibri" w:hAnsi="Calibri" w:cs="Times New Roman"/>
          <w:bCs/>
          <w:sz w:val="24"/>
          <w:szCs w:val="24"/>
        </w:rPr>
        <w:t xml:space="preserve"> El TC</w:t>
      </w:r>
      <w:r w:rsidR="004D2D7F" w:rsidRPr="006730E3">
        <w:rPr>
          <w:rFonts w:ascii="Calibri" w:hAnsi="Calibri" w:cs="Times New Roman"/>
          <w:bCs/>
          <w:sz w:val="24"/>
          <w:szCs w:val="24"/>
        </w:rPr>
        <w:t xml:space="preserve">, una vez declarados inconstitucionales los preceptos reguladores de los posibles efectos civiles </w:t>
      </w:r>
      <w:r w:rsidR="00C23650" w:rsidRPr="006730E3">
        <w:rPr>
          <w:rFonts w:ascii="Calibri" w:hAnsi="Calibri" w:cs="Times New Roman"/>
          <w:bCs/>
          <w:sz w:val="24"/>
          <w:szCs w:val="24"/>
        </w:rPr>
        <w:t>previstos en la</w:t>
      </w:r>
      <w:r w:rsidR="004D2D7F" w:rsidRPr="006730E3">
        <w:rPr>
          <w:rFonts w:ascii="Calibri" w:hAnsi="Calibri" w:cs="Times New Roman"/>
          <w:bCs/>
          <w:sz w:val="24"/>
          <w:szCs w:val="24"/>
        </w:rPr>
        <w:t xml:space="preserve"> ley,</w:t>
      </w:r>
      <w:r w:rsidR="004C1487" w:rsidRPr="006730E3">
        <w:rPr>
          <w:rFonts w:ascii="Calibri" w:hAnsi="Calibri" w:cs="Times New Roman"/>
          <w:bCs/>
          <w:sz w:val="24"/>
          <w:szCs w:val="24"/>
        </w:rPr>
        <w:t xml:space="preserve"> sostiene que </w:t>
      </w:r>
      <w:r w:rsidR="004D2D7F" w:rsidRPr="006730E3">
        <w:rPr>
          <w:rFonts w:ascii="Calibri" w:hAnsi="Calibri" w:cs="Times New Roman"/>
          <w:bCs/>
          <w:sz w:val="24"/>
          <w:szCs w:val="24"/>
        </w:rPr>
        <w:t>tal registro</w:t>
      </w:r>
      <w:r w:rsidR="004C1487" w:rsidRPr="006730E3">
        <w:rPr>
          <w:rFonts w:ascii="Calibri" w:hAnsi="Calibri" w:cs="Times New Roman"/>
          <w:bCs/>
          <w:sz w:val="24"/>
          <w:szCs w:val="24"/>
        </w:rPr>
        <w:t xml:space="preserve"> </w:t>
      </w:r>
      <w:r w:rsidR="004C1487" w:rsidRPr="006730E3">
        <w:rPr>
          <w:rFonts w:ascii="Calibri" w:hAnsi="Calibri" w:cs="Times New Roman"/>
          <w:sz w:val="24"/>
          <w:szCs w:val="24"/>
        </w:rPr>
        <w:t>«se limita</w:t>
      </w:r>
      <w:r w:rsidR="005C39BF" w:rsidRPr="006730E3">
        <w:rPr>
          <w:rFonts w:ascii="Calibri" w:hAnsi="Calibri" w:cs="Times New Roman"/>
          <w:sz w:val="24"/>
          <w:szCs w:val="24"/>
        </w:rPr>
        <w:t xml:space="preserve"> [ahora]</w:t>
      </w:r>
      <w:r w:rsidR="004C1487" w:rsidRPr="006730E3">
        <w:rPr>
          <w:rFonts w:ascii="Calibri" w:hAnsi="Calibri" w:cs="Times New Roman"/>
          <w:sz w:val="24"/>
          <w:szCs w:val="24"/>
        </w:rPr>
        <w:t xml:space="preserve"> a publicitar un hecho, la existencia de la previa unión</w:t>
      </w:r>
      <w:r w:rsidR="00C23650" w:rsidRPr="006730E3">
        <w:rPr>
          <w:rFonts w:ascii="Calibri" w:hAnsi="Calibri" w:cs="Times New Roman"/>
          <w:sz w:val="24"/>
          <w:szCs w:val="24"/>
        </w:rPr>
        <w:t xml:space="preserve"> de hecho a fin de atribuirle</w:t>
      </w:r>
      <w:r w:rsidR="004C1487" w:rsidRPr="006730E3">
        <w:rPr>
          <w:rFonts w:ascii="Calibri" w:hAnsi="Calibri" w:cs="Times New Roman"/>
          <w:sz w:val="24"/>
          <w:szCs w:val="24"/>
        </w:rPr>
        <w:t xml:space="preserve"> determinada eficacia en ámbitos de competencia propia de la Comunidad de Madrid y, por tanto, sin incidir en la legislación civil ni, por lo mismo, en la competencia estatal relativa a la ordenación de los registros del art. 149.1.8 CE»</w:t>
      </w:r>
      <w:r w:rsidR="004D2D7F" w:rsidRPr="006730E3">
        <w:rPr>
          <w:rFonts w:ascii="Calibri" w:hAnsi="Calibri" w:cs="Times New Roman"/>
          <w:sz w:val="24"/>
          <w:szCs w:val="24"/>
        </w:rPr>
        <w:t>. Del mismo modo, y a lo que ahora nos interesa, incide en que «</w:t>
      </w:r>
      <w:r w:rsidR="004C1487" w:rsidRPr="006730E3">
        <w:rPr>
          <w:rFonts w:ascii="Calibri" w:hAnsi="Calibri" w:cs="Times New Roman"/>
          <w:sz w:val="24"/>
          <w:szCs w:val="24"/>
        </w:rPr>
        <w:t xml:space="preserve">la inscripción </w:t>
      </w:r>
      <w:r w:rsidR="004D2D7F" w:rsidRPr="006730E3">
        <w:rPr>
          <w:rFonts w:ascii="Calibri" w:hAnsi="Calibri" w:cs="Times New Roman"/>
          <w:sz w:val="24"/>
          <w:szCs w:val="24"/>
        </w:rPr>
        <w:t>(…) tiene por única finalidad (…)</w:t>
      </w:r>
      <w:r w:rsidR="004C1487" w:rsidRPr="006730E3">
        <w:rPr>
          <w:rFonts w:ascii="Calibri" w:hAnsi="Calibri" w:cs="Times New Roman"/>
          <w:sz w:val="24"/>
          <w:szCs w:val="24"/>
        </w:rPr>
        <w:t xml:space="preserve"> la acreditación de una situación de hecho, de modo que resulte posible aplicar el régimen jurídico que, en el ámbito de competencias autonómico, el legislador territorial haya considerado oportuno establecer, sin afectar a facetas propias de las relaciones personales o patrimoniales de los i</w:t>
      </w:r>
      <w:r w:rsidR="004D2D7F" w:rsidRPr="006730E3">
        <w:rPr>
          <w:rFonts w:ascii="Calibri" w:hAnsi="Calibri" w:cs="Times New Roman"/>
          <w:sz w:val="24"/>
          <w:szCs w:val="24"/>
        </w:rPr>
        <w:t>ntegrantes de la unión de hecho</w:t>
      </w:r>
      <w:r w:rsidR="004D2D7F" w:rsidRPr="006730E3">
        <w:rPr>
          <w:rFonts w:ascii="Calibri" w:hAnsi="Calibri" w:cs="Times New Roman"/>
          <w:sz w:val="24"/>
          <w:szCs w:val="24"/>
          <w:shd w:val="clear" w:color="auto" w:fill="FFFFFF"/>
        </w:rPr>
        <w:t>»</w:t>
      </w:r>
      <w:r w:rsidR="004D2D7F" w:rsidRPr="006730E3">
        <w:rPr>
          <w:rStyle w:val="Refdenotaalpie"/>
          <w:rFonts w:ascii="Calibri" w:hAnsi="Calibri" w:cs="Times New Roman"/>
          <w:sz w:val="24"/>
          <w:szCs w:val="24"/>
          <w:shd w:val="clear" w:color="auto" w:fill="FFFFFF"/>
        </w:rPr>
        <w:footnoteReference w:id="90"/>
      </w:r>
      <w:r w:rsidR="004D2D7F" w:rsidRPr="006730E3">
        <w:rPr>
          <w:rFonts w:ascii="Calibri" w:hAnsi="Calibri" w:cs="Times New Roman"/>
          <w:sz w:val="24"/>
          <w:szCs w:val="24"/>
          <w:shd w:val="clear" w:color="auto" w:fill="FFFFFF"/>
        </w:rPr>
        <w:t>.</w:t>
      </w:r>
    </w:p>
    <w:p w:rsidR="005E4A18" w:rsidRPr="006730E3" w:rsidRDefault="00C87F20"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Por su parte, la doctrina </w:t>
      </w:r>
      <w:r w:rsidR="001A6056" w:rsidRPr="006730E3">
        <w:rPr>
          <w:rFonts w:ascii="Calibri" w:hAnsi="Calibri" w:cs="Times New Roman"/>
          <w:sz w:val="24"/>
          <w:szCs w:val="24"/>
          <w:shd w:val="clear" w:color="auto" w:fill="FFFFFF"/>
        </w:rPr>
        <w:t xml:space="preserve">se ha ocupado principalmente de </w:t>
      </w:r>
      <w:r w:rsidRPr="006730E3">
        <w:rPr>
          <w:rFonts w:ascii="Calibri" w:hAnsi="Calibri" w:cs="Times New Roman"/>
          <w:sz w:val="24"/>
          <w:szCs w:val="24"/>
          <w:shd w:val="clear" w:color="auto" w:fill="FFFFFF"/>
        </w:rPr>
        <w:t>desengr</w:t>
      </w:r>
      <w:r w:rsidR="00ED7AF7" w:rsidRPr="006730E3">
        <w:rPr>
          <w:rFonts w:ascii="Calibri" w:hAnsi="Calibri" w:cs="Times New Roman"/>
          <w:sz w:val="24"/>
          <w:szCs w:val="24"/>
          <w:shd w:val="clear" w:color="auto" w:fill="FFFFFF"/>
        </w:rPr>
        <w:t>anar</w:t>
      </w:r>
      <w:r w:rsidRPr="006730E3">
        <w:rPr>
          <w:rFonts w:ascii="Calibri" w:hAnsi="Calibri" w:cs="Times New Roman"/>
          <w:sz w:val="24"/>
          <w:szCs w:val="24"/>
          <w:shd w:val="clear" w:color="auto" w:fill="FFFFFF"/>
        </w:rPr>
        <w:t xml:space="preserve"> las características que son propias y </w:t>
      </w:r>
      <w:r w:rsidR="00ED7AF7" w:rsidRPr="006730E3">
        <w:rPr>
          <w:rFonts w:ascii="Calibri" w:hAnsi="Calibri" w:cs="Times New Roman"/>
          <w:sz w:val="24"/>
          <w:szCs w:val="24"/>
          <w:shd w:val="clear" w:color="auto" w:fill="FFFFFF"/>
        </w:rPr>
        <w:t>diferenciadoras de</w:t>
      </w:r>
      <w:r w:rsidRPr="006730E3">
        <w:rPr>
          <w:rFonts w:ascii="Calibri" w:hAnsi="Calibri" w:cs="Times New Roman"/>
          <w:sz w:val="24"/>
          <w:szCs w:val="24"/>
          <w:shd w:val="clear" w:color="auto" w:fill="FFFFFF"/>
        </w:rPr>
        <w:t xml:space="preserve"> los </w:t>
      </w:r>
      <w:r w:rsidR="001A6056" w:rsidRPr="006730E3">
        <w:rPr>
          <w:rFonts w:ascii="Calibri" w:hAnsi="Calibri" w:cs="Times New Roman"/>
          <w:sz w:val="24"/>
          <w:szCs w:val="24"/>
          <w:shd w:val="clear" w:color="auto" w:fill="FFFFFF"/>
        </w:rPr>
        <w:t xml:space="preserve">comúnmente denominados </w:t>
      </w:r>
      <w:r w:rsidRPr="006730E3">
        <w:rPr>
          <w:rFonts w:ascii="Calibri" w:hAnsi="Calibri" w:cs="Times New Roman"/>
          <w:sz w:val="24"/>
          <w:szCs w:val="24"/>
          <w:shd w:val="clear" w:color="auto" w:fill="FFFFFF"/>
        </w:rPr>
        <w:t>registros</w:t>
      </w:r>
      <w:r w:rsidR="00ED7AF7" w:rsidRPr="006730E3">
        <w:rPr>
          <w:rFonts w:ascii="Calibri" w:hAnsi="Calibri" w:cs="Times New Roman"/>
          <w:sz w:val="24"/>
          <w:szCs w:val="24"/>
          <w:shd w:val="clear" w:color="auto" w:fill="FFFFFF"/>
        </w:rPr>
        <w:t xml:space="preserve"> administrativos y los civiles o jurídicos</w:t>
      </w:r>
      <w:r w:rsidR="0081637D" w:rsidRPr="006730E3">
        <w:rPr>
          <w:rStyle w:val="Refdenotaalpie"/>
          <w:rFonts w:ascii="Calibri" w:hAnsi="Calibri" w:cs="Times New Roman"/>
          <w:sz w:val="24"/>
          <w:szCs w:val="24"/>
          <w:shd w:val="clear" w:color="auto" w:fill="FFFFFF"/>
        </w:rPr>
        <w:footnoteReference w:id="91"/>
      </w:r>
      <w:r w:rsidR="00ED7AF7" w:rsidRPr="006730E3">
        <w:rPr>
          <w:rFonts w:ascii="Calibri" w:hAnsi="Calibri" w:cs="Times New Roman"/>
          <w:sz w:val="24"/>
          <w:szCs w:val="24"/>
          <w:shd w:val="clear" w:color="auto" w:fill="FFFFFF"/>
        </w:rPr>
        <w:t xml:space="preserve">. </w:t>
      </w:r>
    </w:p>
    <w:p w:rsidR="006A109E" w:rsidRPr="006730E3" w:rsidRDefault="001A6056"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Si bien existe cierto consenso en mantener esta dicotomía </w:t>
      </w:r>
      <w:r w:rsidR="006A109E" w:rsidRPr="006730E3">
        <w:rPr>
          <w:rFonts w:ascii="Calibri" w:hAnsi="Calibri" w:cs="Times New Roman"/>
          <w:sz w:val="24"/>
          <w:szCs w:val="24"/>
          <w:shd w:val="clear" w:color="auto" w:fill="FFFFFF"/>
        </w:rPr>
        <w:t xml:space="preserve">que sitúa en dos planos paralelos y diferenciados a los registros administrativos frente a los civiles/jurídicos, lo cierto es que la clasificación no está exenta de matices. </w:t>
      </w:r>
      <w:r w:rsidR="00573968" w:rsidRPr="006730E3">
        <w:rPr>
          <w:rFonts w:ascii="Calibri" w:hAnsi="Calibri" w:cs="Times New Roman"/>
          <w:sz w:val="24"/>
          <w:szCs w:val="24"/>
          <w:shd w:val="clear" w:color="auto" w:fill="FFFFFF"/>
        </w:rPr>
        <w:t>A modo meramente ejemplificativo</w:t>
      </w:r>
      <w:r w:rsidR="006A109E" w:rsidRPr="006730E3">
        <w:rPr>
          <w:rFonts w:ascii="Calibri" w:hAnsi="Calibri" w:cs="Times New Roman"/>
          <w:sz w:val="24"/>
          <w:szCs w:val="24"/>
          <w:shd w:val="clear" w:color="auto" w:fill="FFFFFF"/>
        </w:rPr>
        <w:t>, quiz</w:t>
      </w:r>
      <w:r w:rsidR="00A67769" w:rsidRPr="006730E3">
        <w:rPr>
          <w:rFonts w:ascii="Calibri" w:hAnsi="Calibri" w:cs="Times New Roman"/>
          <w:sz w:val="24"/>
          <w:szCs w:val="24"/>
          <w:shd w:val="clear" w:color="auto" w:fill="FFFFFF"/>
        </w:rPr>
        <w:t>ás deba prescindirse de considerar «jurídico» a un tipo de registro y no a otro pues, aunque ello no merezca demasiada explicación, todo registro cuya estructura y funcionamiento se ajusta a unas prescripciones legales es por esta sola razón un registro de naturaleza jurídica. Del mismo modo, tampoco podemos obviar que registros de gran trascendencia para las relaciones entre privados, como el Registro de la Propiedad (en adelante, RP) o el Registro Civil (en adelante</w:t>
      </w:r>
      <w:r w:rsidR="002E66C4" w:rsidRPr="006730E3">
        <w:rPr>
          <w:rFonts w:ascii="Calibri" w:hAnsi="Calibri" w:cs="Times New Roman"/>
          <w:sz w:val="24"/>
          <w:szCs w:val="24"/>
          <w:shd w:val="clear" w:color="auto" w:fill="FFFFFF"/>
        </w:rPr>
        <w:t>, RC</w:t>
      </w:r>
      <w:r w:rsidR="00A67769" w:rsidRPr="006730E3">
        <w:rPr>
          <w:rFonts w:ascii="Calibri" w:hAnsi="Calibri" w:cs="Times New Roman"/>
          <w:sz w:val="24"/>
          <w:szCs w:val="24"/>
          <w:shd w:val="clear" w:color="auto" w:fill="FFFFFF"/>
        </w:rPr>
        <w:t>) se encuadran en una est</w:t>
      </w:r>
      <w:r w:rsidR="0081637D" w:rsidRPr="006730E3">
        <w:rPr>
          <w:rFonts w:ascii="Calibri" w:hAnsi="Calibri" w:cs="Times New Roman"/>
          <w:sz w:val="24"/>
          <w:szCs w:val="24"/>
          <w:shd w:val="clear" w:color="auto" w:fill="FFFFFF"/>
        </w:rPr>
        <w:t>ructura orgánica administrativa; a</w:t>
      </w:r>
      <w:r w:rsidR="00A67769" w:rsidRPr="006730E3">
        <w:rPr>
          <w:rFonts w:ascii="Calibri" w:hAnsi="Calibri" w:cs="Times New Roman"/>
          <w:sz w:val="24"/>
          <w:szCs w:val="24"/>
          <w:shd w:val="clear" w:color="auto" w:fill="FFFFFF"/>
        </w:rPr>
        <w:t>mbos registros dependen a fin de cuentas de la Dirección</w:t>
      </w:r>
      <w:r w:rsidR="00C34283" w:rsidRPr="006730E3">
        <w:rPr>
          <w:rFonts w:ascii="Calibri" w:hAnsi="Calibri" w:cs="Times New Roman"/>
          <w:sz w:val="24"/>
          <w:szCs w:val="24"/>
          <w:shd w:val="clear" w:color="auto" w:fill="FFFFFF"/>
        </w:rPr>
        <w:t xml:space="preserve"> General de los Registros y del Notariado</w:t>
      </w:r>
      <w:r w:rsidR="00A67769" w:rsidRPr="006730E3">
        <w:rPr>
          <w:rFonts w:ascii="Calibri" w:hAnsi="Calibri" w:cs="Times New Roman"/>
          <w:sz w:val="24"/>
          <w:szCs w:val="24"/>
          <w:shd w:val="clear" w:color="auto" w:fill="FFFFFF"/>
        </w:rPr>
        <w:t xml:space="preserve"> </w:t>
      </w:r>
      <w:r w:rsidR="00C34283" w:rsidRPr="006730E3">
        <w:rPr>
          <w:rFonts w:ascii="Calibri" w:hAnsi="Calibri" w:cs="Times New Roman"/>
          <w:sz w:val="24"/>
          <w:szCs w:val="24"/>
          <w:shd w:val="clear" w:color="auto" w:fill="FFFFFF"/>
        </w:rPr>
        <w:lastRenderedPageBreak/>
        <w:t xml:space="preserve">(en adelante, </w:t>
      </w:r>
      <w:r w:rsidR="00A67769" w:rsidRPr="006730E3">
        <w:rPr>
          <w:rFonts w:ascii="Calibri" w:hAnsi="Calibri" w:cs="Times New Roman"/>
          <w:sz w:val="24"/>
          <w:szCs w:val="24"/>
          <w:shd w:val="clear" w:color="auto" w:fill="FFFFFF"/>
        </w:rPr>
        <w:t>DGRN</w:t>
      </w:r>
      <w:r w:rsidR="00C34283" w:rsidRPr="006730E3">
        <w:rPr>
          <w:rFonts w:ascii="Calibri" w:hAnsi="Calibri" w:cs="Times New Roman"/>
          <w:sz w:val="24"/>
          <w:szCs w:val="24"/>
          <w:shd w:val="clear" w:color="auto" w:fill="FFFFFF"/>
        </w:rPr>
        <w:t>) que a su vez depende de la Subsecretaría de Justicia; órgano directivo del Ministerio de Justicia</w:t>
      </w:r>
      <w:r w:rsidR="00C34283" w:rsidRPr="006730E3">
        <w:rPr>
          <w:rStyle w:val="Refdenotaalpie"/>
          <w:rFonts w:ascii="Calibri" w:hAnsi="Calibri" w:cs="Times New Roman"/>
          <w:sz w:val="24"/>
          <w:szCs w:val="24"/>
          <w:shd w:val="clear" w:color="auto" w:fill="FFFFFF"/>
        </w:rPr>
        <w:footnoteReference w:id="92"/>
      </w:r>
      <w:r w:rsidR="00C34283" w:rsidRPr="006730E3">
        <w:rPr>
          <w:rFonts w:ascii="Calibri" w:hAnsi="Calibri" w:cs="Times New Roman"/>
          <w:sz w:val="24"/>
          <w:szCs w:val="24"/>
          <w:shd w:val="clear" w:color="auto" w:fill="FFFFFF"/>
        </w:rPr>
        <w:t>.</w:t>
      </w:r>
    </w:p>
    <w:p w:rsidR="0098320A" w:rsidRPr="006730E3" w:rsidRDefault="00C34283"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En nuestra opinión, más que atender a la denominación de estos registros </w:t>
      </w:r>
      <w:r w:rsidR="003701BF" w:rsidRPr="006730E3">
        <w:rPr>
          <w:rFonts w:ascii="Calibri" w:hAnsi="Calibri" w:cs="Times New Roman"/>
          <w:sz w:val="24"/>
          <w:szCs w:val="24"/>
          <w:shd w:val="clear" w:color="auto" w:fill="FFFFFF"/>
        </w:rPr>
        <w:t>debemos estar a los efectos que producen y, en atención a los mismos</w:t>
      </w:r>
      <w:r w:rsidR="006A109E" w:rsidRPr="006730E3">
        <w:rPr>
          <w:rFonts w:ascii="Calibri" w:hAnsi="Calibri" w:cs="Times New Roman"/>
          <w:sz w:val="24"/>
          <w:szCs w:val="24"/>
          <w:shd w:val="clear" w:color="auto" w:fill="FFFFFF"/>
        </w:rPr>
        <w:t xml:space="preserve">, considerar no tanto si se trata de registros administrativos o </w:t>
      </w:r>
      <w:r w:rsidR="0081637D" w:rsidRPr="006730E3">
        <w:rPr>
          <w:rFonts w:ascii="Calibri" w:hAnsi="Calibri" w:cs="Times New Roman"/>
          <w:sz w:val="24"/>
          <w:szCs w:val="24"/>
          <w:shd w:val="clear" w:color="auto" w:fill="FFFFFF"/>
        </w:rPr>
        <w:t>sustantivos</w:t>
      </w:r>
      <w:r w:rsidR="006A109E" w:rsidRPr="006730E3">
        <w:rPr>
          <w:rFonts w:ascii="Calibri" w:hAnsi="Calibri" w:cs="Times New Roman"/>
          <w:sz w:val="24"/>
          <w:szCs w:val="24"/>
          <w:shd w:val="clear" w:color="auto" w:fill="FFFFFF"/>
        </w:rPr>
        <w:t xml:space="preserve">, sino si su regulación es competencia exclusiva del Estado o no. </w:t>
      </w:r>
    </w:p>
    <w:p w:rsidR="0098320A" w:rsidRPr="006730E3" w:rsidRDefault="003701BF" w:rsidP="00416B3A">
      <w:pPr>
        <w:spacing w:line="312" w:lineRule="auto"/>
        <w:jc w:val="both"/>
        <w:rPr>
          <w:rFonts w:ascii="Calibri" w:hAnsi="Calibri" w:cs="Times New Roman"/>
          <w:bCs/>
          <w:sz w:val="24"/>
          <w:szCs w:val="24"/>
        </w:rPr>
      </w:pPr>
      <w:r w:rsidRPr="006730E3">
        <w:rPr>
          <w:rFonts w:ascii="Calibri" w:hAnsi="Calibri" w:cs="Times New Roman"/>
          <w:sz w:val="24"/>
          <w:szCs w:val="24"/>
          <w:shd w:val="clear" w:color="auto" w:fill="FFFFFF"/>
        </w:rPr>
        <w:t xml:space="preserve">Así las cosas, creemos que es interesante reiterar lo dispuesto en la STC </w:t>
      </w:r>
      <w:r w:rsidRPr="006730E3">
        <w:rPr>
          <w:rFonts w:ascii="Calibri" w:hAnsi="Calibri" w:cs="Times New Roman"/>
          <w:bCs/>
          <w:sz w:val="24"/>
          <w:szCs w:val="24"/>
        </w:rPr>
        <w:t>81/2013: la inscripción en el registro tiene por única finalidad «</w:t>
      </w:r>
      <w:r w:rsidRPr="006730E3">
        <w:rPr>
          <w:rFonts w:ascii="Calibri" w:hAnsi="Calibri" w:cs="Times New Roman"/>
          <w:sz w:val="24"/>
          <w:szCs w:val="24"/>
        </w:rPr>
        <w:t>que resulte posible aplicar el régimen jurídico que, en el ámbito de competencias autonómico, el legislador territorial haya considerado oportuno establecer, sin afectar a facetas propias de las relaciones personales o patrimoniales de los integrantes de la unión de hecho</w:t>
      </w:r>
      <w:r w:rsidRPr="006730E3">
        <w:rPr>
          <w:rFonts w:ascii="Calibri" w:hAnsi="Calibri" w:cs="Times New Roman"/>
          <w:bCs/>
          <w:sz w:val="24"/>
          <w:szCs w:val="24"/>
        </w:rPr>
        <w:t xml:space="preserve">». </w:t>
      </w:r>
      <w:r w:rsidR="00654A4C" w:rsidRPr="006730E3">
        <w:rPr>
          <w:rFonts w:ascii="Calibri" w:hAnsi="Calibri" w:cs="Times New Roman"/>
          <w:bCs/>
          <w:sz w:val="24"/>
          <w:szCs w:val="24"/>
        </w:rPr>
        <w:t xml:space="preserve"> </w:t>
      </w:r>
    </w:p>
    <w:p w:rsidR="00633B97" w:rsidRPr="006730E3" w:rsidRDefault="00633B97" w:rsidP="00416B3A">
      <w:pPr>
        <w:spacing w:line="312" w:lineRule="auto"/>
        <w:jc w:val="both"/>
        <w:rPr>
          <w:rFonts w:ascii="Calibri" w:hAnsi="Calibri" w:cs="Times New Roman"/>
          <w:sz w:val="24"/>
          <w:szCs w:val="24"/>
        </w:rPr>
      </w:pPr>
      <w:r w:rsidRPr="006730E3">
        <w:rPr>
          <w:rFonts w:ascii="Calibri" w:hAnsi="Calibri" w:cs="Times New Roman"/>
          <w:bCs/>
          <w:sz w:val="24"/>
          <w:szCs w:val="24"/>
        </w:rPr>
        <w:t>Si</w:t>
      </w:r>
      <w:r w:rsidR="0098320A" w:rsidRPr="006730E3">
        <w:rPr>
          <w:rFonts w:ascii="Calibri" w:hAnsi="Calibri" w:cs="Times New Roman"/>
          <w:bCs/>
          <w:sz w:val="24"/>
          <w:szCs w:val="24"/>
        </w:rPr>
        <w:t xml:space="preserve"> extrapolamos estas e</w:t>
      </w:r>
      <w:r w:rsidRPr="006730E3">
        <w:rPr>
          <w:rFonts w:ascii="Calibri" w:hAnsi="Calibri" w:cs="Times New Roman"/>
          <w:bCs/>
          <w:sz w:val="24"/>
          <w:szCs w:val="24"/>
        </w:rPr>
        <w:t xml:space="preserve">xplicaciones, en general, a cualquier comunidad autónoma con competencias en materia de derecho civil </w:t>
      </w:r>
      <w:r w:rsidR="00CD3EDB" w:rsidRPr="006730E3">
        <w:rPr>
          <w:rFonts w:ascii="Calibri" w:hAnsi="Calibri" w:cs="Times New Roman"/>
          <w:bCs/>
          <w:sz w:val="24"/>
          <w:szCs w:val="24"/>
        </w:rPr>
        <w:t>y</w:t>
      </w:r>
      <w:r w:rsidRPr="006730E3">
        <w:rPr>
          <w:rFonts w:ascii="Calibri" w:hAnsi="Calibri" w:cs="Times New Roman"/>
          <w:bCs/>
          <w:sz w:val="24"/>
          <w:szCs w:val="24"/>
        </w:rPr>
        <w:t xml:space="preserve">, en particular, a la DAT que aplica el régimen de la sociedad de gananciales a la pareja no casada, entendemos que el discurso debería variar de la siguiente forma: la inscripción en </w:t>
      </w:r>
      <w:r w:rsidR="0081637D" w:rsidRPr="006730E3">
        <w:rPr>
          <w:rFonts w:ascii="Calibri" w:hAnsi="Calibri" w:cs="Times New Roman"/>
          <w:bCs/>
          <w:sz w:val="24"/>
          <w:szCs w:val="24"/>
        </w:rPr>
        <w:t>el</w:t>
      </w:r>
      <w:r w:rsidRPr="006730E3">
        <w:rPr>
          <w:rFonts w:ascii="Calibri" w:hAnsi="Calibri" w:cs="Times New Roman"/>
          <w:bCs/>
          <w:sz w:val="24"/>
          <w:szCs w:val="24"/>
        </w:rPr>
        <w:t xml:space="preserve"> registro tendría por única finalidad que resultase posible aplicar el régimen jurídico de la sociedad de gananciales que el legislador gallego, en el ámbito de sus competencias</w:t>
      </w:r>
      <w:r w:rsidR="00CD3EDB" w:rsidRPr="006730E3">
        <w:rPr>
          <w:rStyle w:val="Refdenotaalpie"/>
          <w:rFonts w:ascii="Calibri" w:hAnsi="Calibri" w:cs="Times New Roman"/>
          <w:bCs/>
          <w:sz w:val="24"/>
          <w:szCs w:val="24"/>
        </w:rPr>
        <w:footnoteReference w:id="93"/>
      </w:r>
      <w:r w:rsidRPr="006730E3">
        <w:rPr>
          <w:rFonts w:ascii="Calibri" w:hAnsi="Calibri" w:cs="Times New Roman"/>
          <w:bCs/>
          <w:sz w:val="24"/>
          <w:szCs w:val="24"/>
        </w:rPr>
        <w:t xml:space="preserve">, consideró oportuno establecer; pero como dicho régimen </w:t>
      </w:r>
      <w:r w:rsidR="00CD3EDB" w:rsidRPr="006730E3">
        <w:rPr>
          <w:rFonts w:ascii="Calibri" w:hAnsi="Calibri" w:cs="Times New Roman"/>
          <w:bCs/>
          <w:sz w:val="24"/>
          <w:szCs w:val="24"/>
        </w:rPr>
        <w:t xml:space="preserve"> </w:t>
      </w:r>
      <w:r w:rsidR="00CD3EDB" w:rsidRPr="006730E3">
        <w:rPr>
          <w:rFonts w:ascii="Calibri" w:hAnsi="Calibri" w:cs="Times New Roman"/>
          <w:sz w:val="24"/>
          <w:szCs w:val="24"/>
        </w:rPr>
        <w:t>afecta</w:t>
      </w:r>
      <w:r w:rsidRPr="006730E3">
        <w:rPr>
          <w:rFonts w:ascii="Calibri" w:hAnsi="Calibri" w:cs="Times New Roman"/>
          <w:sz w:val="24"/>
          <w:szCs w:val="24"/>
        </w:rPr>
        <w:t xml:space="preserve"> a fa</w:t>
      </w:r>
      <w:r w:rsidR="00CD3EDB" w:rsidRPr="006730E3">
        <w:rPr>
          <w:rFonts w:ascii="Calibri" w:hAnsi="Calibri" w:cs="Times New Roman"/>
          <w:sz w:val="24"/>
          <w:szCs w:val="24"/>
        </w:rPr>
        <w:t>cetas propias de las relaciones</w:t>
      </w:r>
      <w:r w:rsidRPr="006730E3">
        <w:rPr>
          <w:rFonts w:ascii="Calibri" w:hAnsi="Calibri" w:cs="Times New Roman"/>
          <w:sz w:val="24"/>
          <w:szCs w:val="24"/>
        </w:rPr>
        <w:t xml:space="preserve"> patrimoniales de los integrantes</w:t>
      </w:r>
      <w:r w:rsidR="00CD3EDB" w:rsidRPr="006730E3">
        <w:rPr>
          <w:rFonts w:ascii="Calibri" w:hAnsi="Calibri" w:cs="Times New Roman"/>
          <w:sz w:val="24"/>
          <w:szCs w:val="24"/>
        </w:rPr>
        <w:t xml:space="preserve"> de la pareja, el citado registro únicamente puede ser regulado por el legislador estatal con base en el art. 149.8ª CE. </w:t>
      </w:r>
    </w:p>
    <w:p w:rsidR="00036C72" w:rsidRPr="006730E3" w:rsidRDefault="007D6E9E" w:rsidP="00416B3A">
      <w:pPr>
        <w:spacing w:line="312" w:lineRule="auto"/>
        <w:jc w:val="both"/>
        <w:rPr>
          <w:rFonts w:ascii="Calibri" w:hAnsi="Calibri" w:cs="Times New Roman"/>
          <w:bCs/>
          <w:sz w:val="24"/>
          <w:szCs w:val="24"/>
        </w:rPr>
      </w:pPr>
      <w:r w:rsidRPr="006730E3">
        <w:rPr>
          <w:rFonts w:ascii="Calibri" w:hAnsi="Calibri" w:cs="Times New Roman"/>
          <w:sz w:val="24"/>
          <w:szCs w:val="24"/>
        </w:rPr>
        <w:t>Ante la inexistencia de un registro estatal de esas características</w:t>
      </w:r>
      <w:r w:rsidR="002C37EB" w:rsidRPr="006730E3">
        <w:rPr>
          <w:rFonts w:ascii="Calibri" w:hAnsi="Calibri" w:cs="Times New Roman"/>
          <w:sz w:val="24"/>
          <w:szCs w:val="24"/>
          <w:shd w:val="clear" w:color="auto" w:fill="FFFFFF"/>
        </w:rPr>
        <w:t xml:space="preserve">, opinamos que el legislador gallego pretendió crear un registro con </w:t>
      </w:r>
      <w:r w:rsidRPr="006730E3">
        <w:rPr>
          <w:rFonts w:ascii="Calibri" w:hAnsi="Calibri" w:cs="Times New Roman"/>
          <w:sz w:val="24"/>
          <w:szCs w:val="24"/>
          <w:shd w:val="clear" w:color="auto" w:fill="FFFFFF"/>
        </w:rPr>
        <w:t>efectos en el ámbito civil y</w:t>
      </w:r>
      <w:r w:rsidR="002C37EB" w:rsidRPr="006730E3">
        <w:rPr>
          <w:rFonts w:ascii="Calibri" w:hAnsi="Calibri" w:cs="Times New Roman"/>
          <w:sz w:val="24"/>
          <w:szCs w:val="24"/>
          <w:shd w:val="clear" w:color="auto" w:fill="FFFFFF"/>
        </w:rPr>
        <w:t xml:space="preserve"> no un mero registro </w:t>
      </w:r>
      <w:r w:rsidRPr="006730E3">
        <w:rPr>
          <w:rFonts w:ascii="Calibri" w:hAnsi="Calibri" w:cs="Times New Roman"/>
          <w:sz w:val="24"/>
          <w:szCs w:val="24"/>
          <w:shd w:val="clear" w:color="auto" w:fill="FFFFFF"/>
        </w:rPr>
        <w:t>limitado a producir consecuencias en el ámbito del Derecho público</w:t>
      </w:r>
      <w:r w:rsidR="002C37EB" w:rsidRPr="006730E3">
        <w:rPr>
          <w:rFonts w:ascii="Calibri" w:hAnsi="Calibri" w:cs="Times New Roman"/>
          <w:sz w:val="24"/>
          <w:szCs w:val="24"/>
          <w:shd w:val="clear" w:color="auto" w:fill="FFFFFF"/>
        </w:rPr>
        <w:t>.</w:t>
      </w:r>
      <w:r w:rsidR="00C1588A" w:rsidRPr="006730E3">
        <w:rPr>
          <w:rFonts w:ascii="Calibri" w:hAnsi="Calibri" w:cs="Times New Roman"/>
          <w:sz w:val="24"/>
          <w:szCs w:val="24"/>
          <w:shd w:val="clear" w:color="auto" w:fill="FFFFFF"/>
        </w:rPr>
        <w:t xml:space="preserve"> Como señala parte de la doctrina, </w:t>
      </w:r>
      <w:r w:rsidR="00C1588A" w:rsidRPr="006730E3">
        <w:rPr>
          <w:rFonts w:ascii="Calibri" w:hAnsi="Calibri" w:cs="Times New Roman"/>
          <w:sz w:val="24"/>
          <w:szCs w:val="24"/>
        </w:rPr>
        <w:t xml:space="preserve">no cabe dudar que la equiparación de la convivencia al matrimonio </w:t>
      </w:r>
      <w:proofErr w:type="gramStart"/>
      <w:r w:rsidR="00C1588A" w:rsidRPr="006730E3">
        <w:rPr>
          <w:rFonts w:ascii="Calibri" w:hAnsi="Calibri" w:cs="Times New Roman"/>
          <w:sz w:val="24"/>
          <w:szCs w:val="24"/>
        </w:rPr>
        <w:t>constituye</w:t>
      </w:r>
      <w:proofErr w:type="gramEnd"/>
      <w:r w:rsidR="00C1588A" w:rsidRPr="006730E3">
        <w:rPr>
          <w:rFonts w:ascii="Calibri" w:hAnsi="Calibri" w:cs="Times New Roman"/>
          <w:sz w:val="24"/>
          <w:szCs w:val="24"/>
        </w:rPr>
        <w:t xml:space="preserve"> un verdadero efecto civil y no un mero efecto administrativo, independientemente de la opinión </w:t>
      </w:r>
      <w:r w:rsidR="00776230" w:rsidRPr="006730E3">
        <w:rPr>
          <w:rFonts w:ascii="Calibri" w:hAnsi="Calibri" w:cs="Times New Roman"/>
          <w:sz w:val="24"/>
          <w:szCs w:val="24"/>
        </w:rPr>
        <w:t xml:space="preserve">que </w:t>
      </w:r>
      <w:r w:rsidR="00C1588A" w:rsidRPr="006730E3">
        <w:rPr>
          <w:rFonts w:ascii="Calibri" w:hAnsi="Calibri" w:cs="Times New Roman"/>
          <w:sz w:val="24"/>
          <w:szCs w:val="24"/>
        </w:rPr>
        <w:t xml:space="preserve">se sostenga acerca de </w:t>
      </w:r>
      <w:r w:rsidR="00AA45E9" w:rsidRPr="006730E3">
        <w:rPr>
          <w:rFonts w:ascii="Calibri" w:hAnsi="Calibri" w:cs="Times New Roman"/>
          <w:sz w:val="24"/>
          <w:szCs w:val="24"/>
        </w:rPr>
        <w:t xml:space="preserve">cuál es </w:t>
      </w:r>
      <w:r w:rsidR="00C1588A" w:rsidRPr="006730E3">
        <w:rPr>
          <w:rFonts w:ascii="Calibri" w:hAnsi="Calibri" w:cs="Times New Roman"/>
          <w:sz w:val="24"/>
          <w:szCs w:val="24"/>
        </w:rPr>
        <w:t>la naturaleza de la condici</w:t>
      </w:r>
      <w:r w:rsidR="004C5153" w:rsidRPr="006730E3">
        <w:rPr>
          <w:rFonts w:ascii="Calibri" w:hAnsi="Calibri" w:cs="Times New Roman"/>
          <w:sz w:val="24"/>
          <w:szCs w:val="24"/>
        </w:rPr>
        <w:t xml:space="preserve">ón de la pareja </w:t>
      </w:r>
      <w:r w:rsidR="00C1588A" w:rsidRPr="006730E3">
        <w:rPr>
          <w:rFonts w:ascii="Calibri" w:hAnsi="Calibri" w:cs="Times New Roman"/>
          <w:sz w:val="24"/>
          <w:szCs w:val="24"/>
        </w:rPr>
        <w:t>inscrita</w:t>
      </w:r>
      <w:r w:rsidR="004C5153" w:rsidRPr="006730E3">
        <w:rPr>
          <w:rStyle w:val="Refdenotaalpie"/>
          <w:rFonts w:ascii="Calibri" w:hAnsi="Calibri" w:cs="Times New Roman"/>
          <w:sz w:val="24"/>
          <w:szCs w:val="24"/>
        </w:rPr>
        <w:footnoteReference w:id="94"/>
      </w:r>
      <w:r w:rsidR="004C5153" w:rsidRPr="006730E3">
        <w:rPr>
          <w:rFonts w:ascii="Calibri" w:hAnsi="Calibri" w:cs="Times New Roman"/>
          <w:sz w:val="24"/>
          <w:szCs w:val="24"/>
        </w:rPr>
        <w:t>. En efecto, algunos apuntan que la inscripción crea un estado civil matrimonial</w:t>
      </w:r>
      <w:r w:rsidR="004C5153" w:rsidRPr="006730E3">
        <w:rPr>
          <w:rStyle w:val="Refdenotaalpie"/>
          <w:rFonts w:ascii="Calibri" w:hAnsi="Calibri" w:cs="Times New Roman"/>
          <w:sz w:val="24"/>
          <w:szCs w:val="24"/>
        </w:rPr>
        <w:footnoteReference w:id="95"/>
      </w:r>
      <w:r w:rsidR="004C5153" w:rsidRPr="006730E3">
        <w:rPr>
          <w:rFonts w:ascii="Calibri" w:hAnsi="Calibri" w:cs="Times New Roman"/>
          <w:sz w:val="24"/>
          <w:szCs w:val="24"/>
        </w:rPr>
        <w:t xml:space="preserve">. </w:t>
      </w:r>
      <w:r w:rsidR="004C5153" w:rsidRPr="006730E3">
        <w:rPr>
          <w:rFonts w:ascii="Calibri" w:hAnsi="Calibri" w:cs="Times New Roman"/>
          <w:sz w:val="24"/>
          <w:szCs w:val="24"/>
        </w:rPr>
        <w:lastRenderedPageBreak/>
        <w:t>Otros no comparten esta opinión</w:t>
      </w:r>
      <w:r w:rsidR="004C5153" w:rsidRPr="006730E3">
        <w:rPr>
          <w:rStyle w:val="Refdenotaalpie"/>
          <w:rFonts w:ascii="Calibri" w:hAnsi="Calibri" w:cs="Times New Roman"/>
          <w:sz w:val="24"/>
          <w:szCs w:val="24"/>
        </w:rPr>
        <w:footnoteReference w:id="96"/>
      </w:r>
      <w:r w:rsidR="004C5153" w:rsidRPr="006730E3">
        <w:rPr>
          <w:rFonts w:ascii="Calibri" w:hAnsi="Calibri" w:cs="Times New Roman"/>
          <w:sz w:val="24"/>
          <w:szCs w:val="24"/>
        </w:rPr>
        <w:t xml:space="preserve"> y </w:t>
      </w:r>
      <w:r w:rsidR="00776230" w:rsidRPr="006730E3">
        <w:rPr>
          <w:rFonts w:ascii="Calibri" w:hAnsi="Calibri" w:cs="Times New Roman"/>
          <w:sz w:val="24"/>
          <w:szCs w:val="24"/>
        </w:rPr>
        <w:t>apuntan</w:t>
      </w:r>
      <w:r w:rsidR="004C5153" w:rsidRPr="006730E3">
        <w:rPr>
          <w:rFonts w:ascii="Calibri" w:hAnsi="Calibri" w:cs="Times New Roman"/>
          <w:sz w:val="24"/>
          <w:szCs w:val="24"/>
        </w:rPr>
        <w:t xml:space="preserve"> que la inscripción en el RPHG otorga a la pareja una «posición jurídica autónoma» que, si bien </w:t>
      </w:r>
      <w:r w:rsidR="00776230" w:rsidRPr="006730E3">
        <w:rPr>
          <w:rFonts w:ascii="Calibri" w:hAnsi="Calibri" w:cs="Times New Roman"/>
          <w:sz w:val="24"/>
          <w:szCs w:val="24"/>
        </w:rPr>
        <w:t xml:space="preserve">probablemente </w:t>
      </w:r>
      <w:r w:rsidR="004C5153" w:rsidRPr="006730E3">
        <w:rPr>
          <w:rFonts w:ascii="Calibri" w:hAnsi="Calibri" w:cs="Times New Roman"/>
          <w:sz w:val="24"/>
          <w:szCs w:val="24"/>
        </w:rPr>
        <w:t xml:space="preserve">no cabe catalogar como estado civil por su falta de eficacia </w:t>
      </w:r>
      <w:r w:rsidR="004C5153" w:rsidRPr="006730E3">
        <w:rPr>
          <w:rFonts w:ascii="Calibri" w:hAnsi="Calibri" w:cs="Times New Roman"/>
          <w:i/>
          <w:sz w:val="24"/>
          <w:szCs w:val="24"/>
        </w:rPr>
        <w:t>erga omnes</w:t>
      </w:r>
      <w:r w:rsidR="004C5153" w:rsidRPr="006730E3">
        <w:rPr>
          <w:rFonts w:ascii="Calibri" w:hAnsi="Calibri" w:cs="Times New Roman"/>
          <w:sz w:val="24"/>
          <w:szCs w:val="24"/>
        </w:rPr>
        <w:t xml:space="preserve">, </w:t>
      </w:r>
      <w:r w:rsidR="00776230" w:rsidRPr="006730E3">
        <w:rPr>
          <w:rFonts w:ascii="Calibri" w:hAnsi="Calibri" w:cs="Times New Roman"/>
          <w:sz w:val="24"/>
          <w:szCs w:val="24"/>
        </w:rPr>
        <w:t xml:space="preserve">sí constituye un </w:t>
      </w:r>
      <w:proofErr w:type="spellStart"/>
      <w:r w:rsidR="00776230" w:rsidRPr="006730E3">
        <w:rPr>
          <w:rFonts w:ascii="Calibri" w:hAnsi="Calibri" w:cs="Times New Roman"/>
          <w:i/>
          <w:sz w:val="24"/>
          <w:szCs w:val="24"/>
        </w:rPr>
        <w:t>tertium</w:t>
      </w:r>
      <w:proofErr w:type="spellEnd"/>
      <w:r w:rsidR="00776230" w:rsidRPr="006730E3">
        <w:rPr>
          <w:rFonts w:ascii="Calibri" w:hAnsi="Calibri" w:cs="Times New Roman"/>
          <w:i/>
          <w:sz w:val="24"/>
          <w:szCs w:val="24"/>
        </w:rPr>
        <w:t xml:space="preserve"> </w:t>
      </w:r>
      <w:proofErr w:type="spellStart"/>
      <w:r w:rsidR="00776230" w:rsidRPr="006730E3">
        <w:rPr>
          <w:rFonts w:ascii="Calibri" w:hAnsi="Calibri" w:cs="Times New Roman"/>
          <w:i/>
          <w:sz w:val="24"/>
          <w:szCs w:val="24"/>
        </w:rPr>
        <w:t>genus</w:t>
      </w:r>
      <w:proofErr w:type="spellEnd"/>
      <w:r w:rsidR="00776230" w:rsidRPr="006730E3">
        <w:rPr>
          <w:rStyle w:val="Refdenotaalpie"/>
          <w:rFonts w:ascii="Calibri" w:hAnsi="Calibri" w:cs="Times New Roman"/>
          <w:i/>
          <w:sz w:val="24"/>
          <w:szCs w:val="24"/>
        </w:rPr>
        <w:footnoteReference w:id="97"/>
      </w:r>
      <w:r w:rsidR="00776230" w:rsidRPr="006730E3">
        <w:rPr>
          <w:rFonts w:ascii="Calibri" w:hAnsi="Calibri" w:cs="Times New Roman"/>
          <w:sz w:val="24"/>
          <w:szCs w:val="24"/>
        </w:rPr>
        <w:t>; criterio situado entre dos aguas debido a la anómala situación creada por la DAT.</w:t>
      </w:r>
    </w:p>
    <w:p w:rsidR="00AA45E9" w:rsidRPr="006730E3" w:rsidRDefault="00011742"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Pues bien, el RPHG se c</w:t>
      </w:r>
      <w:r w:rsidR="00054F7B" w:rsidRPr="006730E3">
        <w:rPr>
          <w:rFonts w:ascii="Calibri" w:hAnsi="Calibri" w:cs="Times New Roman"/>
          <w:sz w:val="24"/>
          <w:szCs w:val="24"/>
          <w:shd w:val="clear" w:color="auto" w:fill="FFFFFF"/>
        </w:rPr>
        <w:t xml:space="preserve">oncibe como un registro de carácter constitutivo, de forma que la inscripción es requisito necesario para la aplicación global de todas las previsiones atinentes al matrimonio contenidas en la LDCG. </w:t>
      </w:r>
      <w:r w:rsidR="00036C72" w:rsidRPr="006730E3">
        <w:rPr>
          <w:rFonts w:ascii="Calibri" w:hAnsi="Calibri" w:cs="Times New Roman"/>
          <w:sz w:val="24"/>
          <w:szCs w:val="24"/>
          <w:shd w:val="clear" w:color="auto" w:fill="FFFFFF"/>
        </w:rPr>
        <w:t>L</w:t>
      </w:r>
      <w:r w:rsidR="00054F7B" w:rsidRPr="006730E3">
        <w:rPr>
          <w:rFonts w:ascii="Calibri" w:hAnsi="Calibri" w:cs="Times New Roman"/>
          <w:sz w:val="24"/>
          <w:szCs w:val="24"/>
          <w:shd w:val="clear" w:color="auto" w:fill="FFFFFF"/>
        </w:rPr>
        <w:t>a DAT no lo dice expresamente, pero así lo afirma la Disposición final de la ley de reforma de la DAT del año 2007</w:t>
      </w:r>
      <w:r w:rsidR="00CD75C7" w:rsidRPr="006730E3">
        <w:rPr>
          <w:rFonts w:ascii="Calibri" w:hAnsi="Calibri" w:cs="Times New Roman"/>
          <w:sz w:val="24"/>
          <w:szCs w:val="24"/>
          <w:shd w:val="clear" w:color="auto" w:fill="FFFFFF"/>
        </w:rPr>
        <w:t xml:space="preserve"> y el art. 1.2 del Decreto de creación del RPHG de 2007. A lo que ahora nos interesa, es consecuencia de la inscripción la aplicación del régimen económico de gananciales</w:t>
      </w:r>
      <w:r w:rsidR="00036C72" w:rsidRPr="006730E3">
        <w:rPr>
          <w:rFonts w:ascii="Calibri" w:hAnsi="Calibri" w:cs="Times New Roman"/>
          <w:sz w:val="24"/>
          <w:szCs w:val="24"/>
          <w:shd w:val="clear" w:color="auto" w:fill="FFFFFF"/>
        </w:rPr>
        <w:t xml:space="preserve"> </w:t>
      </w:r>
      <w:r w:rsidR="00CD75C7" w:rsidRPr="006730E3">
        <w:rPr>
          <w:rFonts w:ascii="Calibri" w:hAnsi="Calibri" w:cs="Times New Roman"/>
          <w:sz w:val="24"/>
          <w:szCs w:val="24"/>
          <w:shd w:val="clear" w:color="auto" w:fill="FFFFFF"/>
        </w:rPr>
        <w:t xml:space="preserve">y no requiere </w:t>
      </w:r>
      <w:r w:rsidR="00036C72" w:rsidRPr="006730E3">
        <w:rPr>
          <w:rFonts w:ascii="Calibri" w:hAnsi="Calibri" w:cs="Times New Roman"/>
          <w:sz w:val="24"/>
          <w:szCs w:val="24"/>
          <w:shd w:val="clear" w:color="auto" w:fill="FFFFFF"/>
        </w:rPr>
        <w:t xml:space="preserve">demasiada explicación afirmar que ello se trata ciertamente de un efecto civil y patrimonial, el cual, según el art. 149.1.8ª CE y la doctrina constitucional que lo interpreta, es una materia reservada a los registros </w:t>
      </w:r>
      <w:r w:rsidR="007D6E9E" w:rsidRPr="006730E3">
        <w:rPr>
          <w:rFonts w:ascii="Calibri" w:hAnsi="Calibri" w:cs="Times New Roman"/>
          <w:sz w:val="24"/>
          <w:szCs w:val="24"/>
          <w:shd w:val="clear" w:color="auto" w:fill="FFFFFF"/>
        </w:rPr>
        <w:t>de creación estatal</w:t>
      </w:r>
      <w:r w:rsidR="00AA45E9" w:rsidRPr="006730E3">
        <w:rPr>
          <w:rFonts w:ascii="Calibri" w:hAnsi="Calibri" w:cs="Times New Roman"/>
          <w:sz w:val="24"/>
          <w:szCs w:val="24"/>
          <w:shd w:val="clear" w:color="auto" w:fill="FFFFFF"/>
        </w:rPr>
        <w:t xml:space="preserve">; cuestión distinta es el alcance </w:t>
      </w:r>
      <w:r w:rsidR="00AA45E9" w:rsidRPr="006730E3">
        <w:rPr>
          <w:rFonts w:ascii="Calibri" w:hAnsi="Calibri" w:cs="Times New Roman"/>
          <w:i/>
          <w:sz w:val="24"/>
          <w:szCs w:val="24"/>
          <w:shd w:val="clear" w:color="auto" w:fill="FFFFFF"/>
        </w:rPr>
        <w:t>inter partes</w:t>
      </w:r>
      <w:r w:rsidR="00AA45E9" w:rsidRPr="006730E3">
        <w:rPr>
          <w:rFonts w:ascii="Calibri" w:hAnsi="Calibri" w:cs="Times New Roman"/>
          <w:sz w:val="24"/>
          <w:szCs w:val="24"/>
          <w:shd w:val="clear" w:color="auto" w:fill="FFFFFF"/>
        </w:rPr>
        <w:t xml:space="preserve"> o </w:t>
      </w:r>
      <w:r w:rsidR="00AA45E9" w:rsidRPr="006730E3">
        <w:rPr>
          <w:rFonts w:ascii="Calibri" w:hAnsi="Calibri" w:cs="Times New Roman"/>
          <w:i/>
          <w:sz w:val="24"/>
          <w:szCs w:val="24"/>
          <w:shd w:val="clear" w:color="auto" w:fill="FFFFFF"/>
        </w:rPr>
        <w:t>erga omnes</w:t>
      </w:r>
      <w:r w:rsidR="00AA45E9" w:rsidRPr="006730E3">
        <w:rPr>
          <w:rFonts w:ascii="Calibri" w:hAnsi="Calibri" w:cs="Times New Roman"/>
          <w:sz w:val="24"/>
          <w:szCs w:val="24"/>
          <w:shd w:val="clear" w:color="auto" w:fill="FFFFFF"/>
        </w:rPr>
        <w:t xml:space="preserve"> de dichos efectos, lo cual analizaremos en el próximo apartado</w:t>
      </w:r>
      <w:r w:rsidR="00036C72" w:rsidRPr="006730E3">
        <w:rPr>
          <w:rFonts w:ascii="Calibri" w:hAnsi="Calibri" w:cs="Times New Roman"/>
          <w:sz w:val="24"/>
          <w:szCs w:val="24"/>
          <w:shd w:val="clear" w:color="auto" w:fill="FFFFFF"/>
        </w:rPr>
        <w:t>. Como señala la SAP de A Coruña (Sección 5ª) de 14 de octubre de 2013, «</w:t>
      </w:r>
      <w:r w:rsidR="00036C72" w:rsidRPr="006730E3">
        <w:rPr>
          <w:rFonts w:ascii="Calibri" w:hAnsi="Calibri" w:cs="Times New Roman"/>
          <w:sz w:val="24"/>
          <w:szCs w:val="24"/>
        </w:rPr>
        <w:t xml:space="preserve">la inscripción en el Registro </w:t>
      </w:r>
      <w:r w:rsidR="00296C31" w:rsidRPr="006730E3">
        <w:rPr>
          <w:rFonts w:ascii="Calibri" w:hAnsi="Calibri" w:cs="Times New Roman"/>
          <w:sz w:val="24"/>
          <w:szCs w:val="24"/>
        </w:rPr>
        <w:t>(…)</w:t>
      </w:r>
      <w:r w:rsidR="00036C72" w:rsidRPr="006730E3">
        <w:rPr>
          <w:rFonts w:ascii="Calibri" w:hAnsi="Calibri" w:cs="Times New Roman"/>
          <w:sz w:val="24"/>
          <w:szCs w:val="24"/>
        </w:rPr>
        <w:t xml:space="preserve"> tiene naturaleza constitutiva y los efectos que a ello anuda la correspondiente legislación exceden de una simple equiparación con los cónyuges en el ámbito </w:t>
      </w:r>
      <w:proofErr w:type="spellStart"/>
      <w:r w:rsidR="00036C72" w:rsidRPr="006730E3">
        <w:rPr>
          <w:rFonts w:ascii="Calibri" w:hAnsi="Calibri" w:cs="Times New Roman"/>
          <w:sz w:val="24"/>
          <w:szCs w:val="24"/>
        </w:rPr>
        <w:t>iuspublicista</w:t>
      </w:r>
      <w:proofErr w:type="spellEnd"/>
      <w:r w:rsidR="00036C72" w:rsidRPr="006730E3">
        <w:rPr>
          <w:rFonts w:ascii="Calibri" w:hAnsi="Calibri" w:cs="Times New Roman"/>
          <w:sz w:val="24"/>
          <w:szCs w:val="24"/>
        </w:rPr>
        <w:t>, por lo que es difícil negar que carezca en absoluto de efectos sustantivos civiles, por más que la norma de la que ello derive pudiera acaso ser tachada de inconstitucional</w:t>
      </w:r>
      <w:r w:rsidR="00036C72" w:rsidRPr="006730E3">
        <w:rPr>
          <w:rFonts w:ascii="Calibri" w:hAnsi="Calibri" w:cs="Times New Roman"/>
          <w:sz w:val="24"/>
          <w:szCs w:val="24"/>
          <w:shd w:val="clear" w:color="auto" w:fill="FFFFFF"/>
        </w:rPr>
        <w:t>»</w:t>
      </w:r>
      <w:r w:rsidR="00036C72" w:rsidRPr="006730E3">
        <w:rPr>
          <w:rStyle w:val="Refdenotaalpie"/>
          <w:rFonts w:ascii="Calibri" w:hAnsi="Calibri" w:cs="Times New Roman"/>
          <w:sz w:val="24"/>
          <w:szCs w:val="24"/>
          <w:shd w:val="clear" w:color="auto" w:fill="FFFFFF"/>
        </w:rPr>
        <w:footnoteReference w:id="98"/>
      </w:r>
      <w:r w:rsidR="00036C72" w:rsidRPr="006730E3">
        <w:rPr>
          <w:rFonts w:ascii="Calibri" w:hAnsi="Calibri" w:cs="Times New Roman"/>
          <w:sz w:val="24"/>
          <w:szCs w:val="24"/>
          <w:shd w:val="clear" w:color="auto" w:fill="FFFFFF"/>
        </w:rPr>
        <w:t>.</w:t>
      </w:r>
    </w:p>
    <w:p w:rsidR="001650A4" w:rsidRPr="006730E3" w:rsidRDefault="00E96E64"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Adviértase que las dudas </w:t>
      </w:r>
      <w:r w:rsidR="00AA45E9" w:rsidRPr="006730E3">
        <w:rPr>
          <w:rFonts w:ascii="Calibri" w:hAnsi="Calibri" w:cs="Times New Roman"/>
          <w:sz w:val="24"/>
          <w:szCs w:val="24"/>
          <w:shd w:val="clear" w:color="auto" w:fill="FFFFFF"/>
        </w:rPr>
        <w:t xml:space="preserve">de la Audiencia </w:t>
      </w:r>
      <w:r w:rsidRPr="006730E3">
        <w:rPr>
          <w:rFonts w:ascii="Calibri" w:hAnsi="Calibri" w:cs="Times New Roman"/>
          <w:sz w:val="24"/>
          <w:szCs w:val="24"/>
          <w:shd w:val="clear" w:color="auto" w:fill="FFFFFF"/>
        </w:rPr>
        <w:t>sobre la constitucionalidad de</w:t>
      </w:r>
      <w:r w:rsidR="00AA45E9" w:rsidRPr="006730E3">
        <w:rPr>
          <w:rFonts w:ascii="Calibri" w:hAnsi="Calibri" w:cs="Times New Roman"/>
          <w:sz w:val="24"/>
          <w:szCs w:val="24"/>
          <w:shd w:val="clear" w:color="auto" w:fill="FFFFFF"/>
        </w:rPr>
        <w:t xml:space="preserve"> la DAT se </w:t>
      </w:r>
      <w:r w:rsidRPr="006730E3">
        <w:rPr>
          <w:rFonts w:ascii="Calibri" w:hAnsi="Calibri" w:cs="Times New Roman"/>
          <w:sz w:val="24"/>
          <w:szCs w:val="24"/>
          <w:shd w:val="clear" w:color="auto" w:fill="FFFFFF"/>
        </w:rPr>
        <w:t>basan</w:t>
      </w:r>
      <w:r w:rsidR="00AA45E9" w:rsidRPr="006730E3">
        <w:rPr>
          <w:rFonts w:ascii="Calibri" w:hAnsi="Calibri" w:cs="Times New Roman"/>
          <w:sz w:val="24"/>
          <w:szCs w:val="24"/>
          <w:shd w:val="clear" w:color="auto" w:fill="FFFFFF"/>
        </w:rPr>
        <w:t xml:space="preserve"> en </w:t>
      </w:r>
      <w:r w:rsidR="007D6E9E" w:rsidRPr="006730E3">
        <w:rPr>
          <w:rFonts w:ascii="Calibri" w:hAnsi="Calibri" w:cs="Times New Roman"/>
          <w:sz w:val="24"/>
          <w:szCs w:val="24"/>
          <w:shd w:val="clear" w:color="auto" w:fill="FFFFFF"/>
        </w:rPr>
        <w:t>los efectos sustantivos que</w:t>
      </w:r>
      <w:r w:rsidR="00AA45E9" w:rsidRPr="006730E3">
        <w:rPr>
          <w:rFonts w:ascii="Calibri" w:hAnsi="Calibri" w:cs="Times New Roman"/>
          <w:sz w:val="24"/>
          <w:szCs w:val="24"/>
          <w:shd w:val="clear" w:color="auto" w:fill="FFFFFF"/>
        </w:rPr>
        <w:t xml:space="preserve"> </w:t>
      </w:r>
      <w:r w:rsidR="007D6E9E" w:rsidRPr="006730E3">
        <w:rPr>
          <w:rFonts w:ascii="Calibri" w:hAnsi="Calibri" w:cs="Times New Roman"/>
          <w:sz w:val="24"/>
          <w:szCs w:val="24"/>
          <w:shd w:val="clear" w:color="auto" w:fill="FFFFFF"/>
        </w:rPr>
        <w:t xml:space="preserve">el </w:t>
      </w:r>
      <w:r w:rsidR="00AA45E9" w:rsidRPr="006730E3">
        <w:rPr>
          <w:rFonts w:ascii="Calibri" w:hAnsi="Calibri" w:cs="Times New Roman"/>
          <w:sz w:val="24"/>
          <w:szCs w:val="24"/>
          <w:shd w:val="clear" w:color="auto" w:fill="FFFFFF"/>
        </w:rPr>
        <w:t xml:space="preserve">RPHG </w:t>
      </w:r>
      <w:r w:rsidR="007D6E9E" w:rsidRPr="006730E3">
        <w:rPr>
          <w:rFonts w:ascii="Calibri" w:hAnsi="Calibri" w:cs="Times New Roman"/>
          <w:sz w:val="24"/>
          <w:szCs w:val="24"/>
          <w:shd w:val="clear" w:color="auto" w:fill="FFFFFF"/>
        </w:rPr>
        <w:t xml:space="preserve">produce </w:t>
      </w:r>
      <w:r w:rsidR="00AA45E9" w:rsidRPr="006730E3">
        <w:rPr>
          <w:rFonts w:ascii="Calibri" w:hAnsi="Calibri" w:cs="Times New Roman"/>
          <w:sz w:val="24"/>
          <w:szCs w:val="24"/>
          <w:shd w:val="clear" w:color="auto" w:fill="FFFFFF"/>
        </w:rPr>
        <w:t>y no en el hecho de que el legislador gallego haya regulado efectos civiles de la pareja</w:t>
      </w:r>
      <w:r w:rsidR="0081637D" w:rsidRPr="006730E3">
        <w:rPr>
          <w:rStyle w:val="Refdenotaalpie"/>
          <w:rFonts w:ascii="Calibri" w:hAnsi="Calibri" w:cs="Times New Roman"/>
          <w:sz w:val="24"/>
          <w:szCs w:val="24"/>
          <w:shd w:val="clear" w:color="auto" w:fill="FFFFFF"/>
        </w:rPr>
        <w:footnoteReference w:id="99"/>
      </w:r>
      <w:r w:rsidR="00AA45E9" w:rsidRPr="006730E3">
        <w:rPr>
          <w:rFonts w:ascii="Calibri" w:hAnsi="Calibri" w:cs="Times New Roman"/>
          <w:sz w:val="24"/>
          <w:szCs w:val="24"/>
          <w:shd w:val="clear" w:color="auto" w:fill="FFFFFF"/>
        </w:rPr>
        <w:t>.</w:t>
      </w:r>
      <w:r w:rsidR="007D6E9E" w:rsidRPr="006730E3">
        <w:rPr>
          <w:rFonts w:ascii="Calibri" w:hAnsi="Calibri" w:cs="Times New Roman"/>
          <w:sz w:val="24"/>
          <w:szCs w:val="24"/>
          <w:shd w:val="clear" w:color="auto" w:fill="FFFFFF"/>
        </w:rPr>
        <w:t xml:space="preserve"> Como hemos explicado anteriormente, n</w:t>
      </w:r>
      <w:r w:rsidR="00AA45E9" w:rsidRPr="006730E3">
        <w:rPr>
          <w:rFonts w:ascii="Calibri" w:hAnsi="Calibri" w:cs="Times New Roman"/>
          <w:sz w:val="24"/>
          <w:szCs w:val="24"/>
          <w:shd w:val="clear" w:color="auto" w:fill="FFFFFF"/>
        </w:rPr>
        <w:t xml:space="preserve">inguna Comunidad Autónoma, incluidas las que tienen competencias en materia civil, </w:t>
      </w:r>
      <w:r w:rsidR="007D6E9E" w:rsidRPr="006730E3">
        <w:rPr>
          <w:rFonts w:ascii="Calibri" w:hAnsi="Calibri" w:cs="Times New Roman"/>
          <w:sz w:val="24"/>
          <w:szCs w:val="24"/>
          <w:shd w:val="clear" w:color="auto" w:fill="FFFFFF"/>
        </w:rPr>
        <w:t>puede crear un registro cuyos efectos excedan del estricto ámbito</w:t>
      </w:r>
      <w:r w:rsidR="00D72B9C" w:rsidRPr="006730E3">
        <w:rPr>
          <w:rFonts w:ascii="Calibri" w:hAnsi="Calibri" w:cs="Times New Roman"/>
          <w:sz w:val="24"/>
          <w:szCs w:val="24"/>
          <w:shd w:val="clear" w:color="auto" w:fill="FFFFFF"/>
        </w:rPr>
        <w:t xml:space="preserve"> administrativo</w:t>
      </w:r>
      <w:r w:rsidR="00D72B9C" w:rsidRPr="006730E3">
        <w:rPr>
          <w:rStyle w:val="Refdenotaalpie"/>
          <w:rFonts w:ascii="Calibri" w:hAnsi="Calibri" w:cs="Times New Roman"/>
          <w:sz w:val="24"/>
          <w:szCs w:val="24"/>
          <w:shd w:val="clear" w:color="auto" w:fill="FFFFFF"/>
        </w:rPr>
        <w:footnoteReference w:id="100"/>
      </w:r>
      <w:r w:rsidR="00D72B9C" w:rsidRPr="006730E3">
        <w:rPr>
          <w:rFonts w:ascii="Calibri" w:hAnsi="Calibri" w:cs="Times New Roman"/>
          <w:sz w:val="24"/>
          <w:szCs w:val="24"/>
          <w:shd w:val="clear" w:color="auto" w:fill="FFFFFF"/>
        </w:rPr>
        <w:t>.</w:t>
      </w:r>
      <w:r w:rsidR="00D438E0" w:rsidRPr="006730E3">
        <w:rPr>
          <w:rFonts w:ascii="Calibri" w:hAnsi="Calibri" w:cs="Times New Roman"/>
          <w:sz w:val="24"/>
          <w:szCs w:val="24"/>
          <w:shd w:val="clear" w:color="auto" w:fill="FFFFFF"/>
        </w:rPr>
        <w:t xml:space="preserve"> </w:t>
      </w:r>
    </w:p>
    <w:p w:rsidR="00036C72" w:rsidRPr="006730E3" w:rsidRDefault="001650A4"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Por otro lado, al contrario que </w:t>
      </w:r>
      <w:r w:rsidR="006C5550" w:rsidRPr="006730E3">
        <w:rPr>
          <w:rFonts w:ascii="Calibri" w:hAnsi="Calibri" w:cs="Times New Roman"/>
          <w:sz w:val="24"/>
          <w:szCs w:val="24"/>
          <w:shd w:val="clear" w:color="auto" w:fill="FFFFFF"/>
        </w:rPr>
        <w:t>algunas</w:t>
      </w:r>
      <w:r w:rsidRPr="006730E3">
        <w:rPr>
          <w:rFonts w:ascii="Calibri" w:hAnsi="Calibri" w:cs="Times New Roman"/>
          <w:sz w:val="24"/>
          <w:szCs w:val="24"/>
          <w:shd w:val="clear" w:color="auto" w:fill="FFFFFF"/>
        </w:rPr>
        <w:t xml:space="preserve"> legislaciones autonómicas que se afanan en afirmar que los registros de parejas creados son de carácter ad</w:t>
      </w:r>
      <w:r w:rsidR="009D6682" w:rsidRPr="006730E3">
        <w:rPr>
          <w:rFonts w:ascii="Calibri" w:hAnsi="Calibri" w:cs="Times New Roman"/>
          <w:sz w:val="24"/>
          <w:szCs w:val="24"/>
          <w:shd w:val="clear" w:color="auto" w:fill="FFFFFF"/>
        </w:rPr>
        <w:t xml:space="preserve">ministrativo, </w:t>
      </w:r>
      <w:r w:rsidR="004C751C" w:rsidRPr="006730E3">
        <w:rPr>
          <w:rFonts w:ascii="Calibri" w:hAnsi="Calibri" w:cs="Times New Roman"/>
          <w:sz w:val="24"/>
          <w:szCs w:val="24"/>
          <w:shd w:val="clear" w:color="auto" w:fill="FFFFFF"/>
        </w:rPr>
        <w:t xml:space="preserve">creemos que </w:t>
      </w:r>
      <w:r w:rsidR="009D6682" w:rsidRPr="006730E3">
        <w:rPr>
          <w:rFonts w:ascii="Calibri" w:hAnsi="Calibri" w:cs="Times New Roman"/>
          <w:sz w:val="24"/>
          <w:szCs w:val="24"/>
          <w:shd w:val="clear" w:color="auto" w:fill="FFFFFF"/>
        </w:rPr>
        <w:t>el legislador gallego hace</w:t>
      </w:r>
      <w:r w:rsidR="007216B7" w:rsidRPr="006730E3">
        <w:rPr>
          <w:rFonts w:ascii="Calibri" w:hAnsi="Calibri" w:cs="Times New Roman"/>
          <w:sz w:val="24"/>
          <w:szCs w:val="24"/>
          <w:shd w:val="clear" w:color="auto" w:fill="FFFFFF"/>
        </w:rPr>
        <w:t xml:space="preserve"> justamente lo contrario. E</w:t>
      </w:r>
      <w:r w:rsidR="009D6682" w:rsidRPr="006730E3">
        <w:rPr>
          <w:rFonts w:ascii="Calibri" w:hAnsi="Calibri" w:cs="Times New Roman"/>
          <w:sz w:val="24"/>
          <w:szCs w:val="24"/>
          <w:shd w:val="clear" w:color="auto" w:fill="FFFFFF"/>
        </w:rPr>
        <w:t>s cierto</w:t>
      </w:r>
      <w:r w:rsidR="004C751C" w:rsidRPr="006730E3">
        <w:rPr>
          <w:rFonts w:ascii="Calibri" w:hAnsi="Calibri" w:cs="Times New Roman"/>
          <w:sz w:val="24"/>
          <w:szCs w:val="24"/>
          <w:shd w:val="clear" w:color="auto" w:fill="FFFFFF"/>
        </w:rPr>
        <w:t xml:space="preserve"> que la eficacia civil o administrativa de un registro </w:t>
      </w:r>
      <w:r w:rsidR="009D6682" w:rsidRPr="006730E3">
        <w:rPr>
          <w:rFonts w:ascii="Calibri" w:hAnsi="Calibri" w:cs="Times New Roman"/>
          <w:sz w:val="24"/>
          <w:szCs w:val="24"/>
          <w:shd w:val="clear" w:color="auto" w:fill="FFFFFF"/>
        </w:rPr>
        <w:t>no radica en que su norma reguladora se pronuncie en un sentido u otro, sino en los efectos que realmente produce</w:t>
      </w:r>
      <w:r w:rsidR="009D6682" w:rsidRPr="006730E3">
        <w:rPr>
          <w:rStyle w:val="Refdenotaalpie"/>
          <w:rFonts w:ascii="Calibri" w:hAnsi="Calibri" w:cs="Times New Roman"/>
          <w:sz w:val="24"/>
          <w:szCs w:val="24"/>
          <w:shd w:val="clear" w:color="auto" w:fill="FFFFFF"/>
        </w:rPr>
        <w:footnoteReference w:id="101"/>
      </w:r>
      <w:r w:rsidR="009D6682" w:rsidRPr="006730E3">
        <w:rPr>
          <w:rFonts w:ascii="Calibri" w:hAnsi="Calibri" w:cs="Times New Roman"/>
          <w:sz w:val="24"/>
          <w:szCs w:val="24"/>
          <w:shd w:val="clear" w:color="auto" w:fill="FFFFFF"/>
        </w:rPr>
        <w:t>. Pero junto a la opinión</w:t>
      </w:r>
      <w:r w:rsidR="00B47631" w:rsidRPr="006730E3">
        <w:rPr>
          <w:rFonts w:ascii="Calibri" w:hAnsi="Calibri" w:cs="Times New Roman"/>
          <w:sz w:val="24"/>
          <w:szCs w:val="24"/>
          <w:shd w:val="clear" w:color="auto" w:fill="FFFFFF"/>
        </w:rPr>
        <w:t>,</w:t>
      </w:r>
      <w:r w:rsidR="009D6682" w:rsidRPr="006730E3">
        <w:rPr>
          <w:rFonts w:ascii="Calibri" w:hAnsi="Calibri" w:cs="Times New Roman"/>
          <w:sz w:val="24"/>
          <w:szCs w:val="24"/>
          <w:shd w:val="clear" w:color="auto" w:fill="FFFFFF"/>
        </w:rPr>
        <w:t xml:space="preserve"> que compartimos</w:t>
      </w:r>
      <w:r w:rsidR="00B47631" w:rsidRPr="006730E3">
        <w:rPr>
          <w:rFonts w:ascii="Calibri" w:hAnsi="Calibri" w:cs="Times New Roman"/>
          <w:sz w:val="24"/>
          <w:szCs w:val="24"/>
          <w:shd w:val="clear" w:color="auto" w:fill="FFFFFF"/>
        </w:rPr>
        <w:t>,</w:t>
      </w:r>
      <w:r w:rsidR="009D6682" w:rsidRPr="006730E3">
        <w:rPr>
          <w:rFonts w:ascii="Calibri" w:hAnsi="Calibri" w:cs="Times New Roman"/>
          <w:sz w:val="24"/>
          <w:szCs w:val="24"/>
          <w:shd w:val="clear" w:color="auto" w:fill="FFFFFF"/>
        </w:rPr>
        <w:t xml:space="preserve"> de que </w:t>
      </w:r>
      <w:r w:rsidR="009D6682" w:rsidRPr="006730E3">
        <w:rPr>
          <w:rFonts w:ascii="Calibri" w:hAnsi="Calibri" w:cs="Times New Roman"/>
          <w:sz w:val="24"/>
          <w:szCs w:val="24"/>
          <w:shd w:val="clear" w:color="auto" w:fill="FFFFFF"/>
        </w:rPr>
        <w:lastRenderedPageBreak/>
        <w:t xml:space="preserve">la inscripción en el RPHG sí origina efectos civiles, el legislador gallego </w:t>
      </w:r>
      <w:r w:rsidR="004C751C" w:rsidRPr="006730E3">
        <w:rPr>
          <w:rFonts w:ascii="Calibri" w:hAnsi="Calibri" w:cs="Times New Roman"/>
          <w:sz w:val="24"/>
          <w:szCs w:val="24"/>
          <w:shd w:val="clear" w:color="auto" w:fill="FFFFFF"/>
        </w:rPr>
        <w:t xml:space="preserve">parece que </w:t>
      </w:r>
      <w:r w:rsidR="00B47631" w:rsidRPr="006730E3">
        <w:rPr>
          <w:rFonts w:ascii="Calibri" w:hAnsi="Calibri" w:cs="Times New Roman"/>
          <w:sz w:val="24"/>
          <w:szCs w:val="24"/>
          <w:shd w:val="clear" w:color="auto" w:fill="FFFFFF"/>
        </w:rPr>
        <w:t xml:space="preserve">así lo manifiesta </w:t>
      </w:r>
      <w:r w:rsidR="00841453" w:rsidRPr="006730E3">
        <w:rPr>
          <w:rFonts w:ascii="Calibri" w:hAnsi="Calibri" w:cs="Times New Roman"/>
          <w:sz w:val="24"/>
          <w:szCs w:val="24"/>
          <w:shd w:val="clear" w:color="auto" w:fill="FFFFFF"/>
        </w:rPr>
        <w:t xml:space="preserve">en </w:t>
      </w:r>
      <w:r w:rsidR="00B47631" w:rsidRPr="006730E3">
        <w:rPr>
          <w:rFonts w:ascii="Calibri" w:hAnsi="Calibri" w:cs="Times New Roman"/>
          <w:sz w:val="24"/>
          <w:szCs w:val="24"/>
          <w:shd w:val="clear" w:color="auto" w:fill="FFFFFF"/>
        </w:rPr>
        <w:t xml:space="preserve">la Exposición de Motivos del Decreto de 2014 de modificación del Decreto de 2007 </w:t>
      </w:r>
      <w:r w:rsidR="001F730C" w:rsidRPr="006730E3">
        <w:rPr>
          <w:rFonts w:ascii="Calibri" w:hAnsi="Calibri" w:cs="Times New Roman"/>
          <w:sz w:val="24"/>
          <w:szCs w:val="24"/>
          <w:shd w:val="clear" w:color="auto" w:fill="FFFFFF"/>
        </w:rPr>
        <w:t xml:space="preserve">por el que se crea el </w:t>
      </w:r>
      <w:r w:rsidR="00841453" w:rsidRPr="006730E3">
        <w:rPr>
          <w:rFonts w:ascii="Calibri" w:hAnsi="Calibri" w:cs="Times New Roman"/>
          <w:sz w:val="24"/>
          <w:szCs w:val="24"/>
          <w:shd w:val="clear" w:color="auto" w:fill="FFFFFF"/>
        </w:rPr>
        <w:t xml:space="preserve">RPHG. Según se lee, el Decreto de 2007 se modifica para aclarar que las solicitudes deben presentarse a petición de ambos miembros de la pareja, en papel y presencialmente ante el encargado del RPHG «por el hecho de la naturaleza jurídica» de dicho registro. </w:t>
      </w:r>
      <w:r w:rsidR="00E96E64" w:rsidRPr="006730E3">
        <w:rPr>
          <w:rFonts w:ascii="Calibri" w:hAnsi="Calibri" w:cs="Times New Roman"/>
          <w:sz w:val="24"/>
          <w:szCs w:val="24"/>
          <w:shd w:val="clear" w:color="auto" w:fill="FFFFFF"/>
        </w:rPr>
        <w:t>Parece que, el legislador gallego se mueve</w:t>
      </w:r>
      <w:r w:rsidR="004C751C" w:rsidRPr="006730E3">
        <w:rPr>
          <w:rFonts w:ascii="Calibri" w:hAnsi="Calibri" w:cs="Times New Roman"/>
          <w:sz w:val="24"/>
          <w:szCs w:val="24"/>
          <w:shd w:val="clear" w:color="auto" w:fill="FFFFFF"/>
        </w:rPr>
        <w:t xml:space="preserve"> en la clásica diferenciación entre registros de «naturaleza» civil y administrativa para decir lo que en realidad importa: que el RPHG produce efectos civiles.</w:t>
      </w:r>
    </w:p>
    <w:p w:rsidR="005E35B0" w:rsidRPr="006730E3" w:rsidRDefault="003B1D37"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Con relación a</w:t>
      </w:r>
      <w:r w:rsidR="00841453" w:rsidRPr="006730E3">
        <w:rPr>
          <w:rFonts w:ascii="Calibri" w:hAnsi="Calibri" w:cs="Times New Roman"/>
          <w:sz w:val="24"/>
          <w:szCs w:val="24"/>
          <w:shd w:val="clear" w:color="auto" w:fill="FFFFFF"/>
        </w:rPr>
        <w:t xml:space="preserve"> lo anterior, tampoco </w:t>
      </w:r>
      <w:r w:rsidR="009C2DCB" w:rsidRPr="006730E3">
        <w:rPr>
          <w:rFonts w:ascii="Calibri" w:hAnsi="Calibri" w:cs="Times New Roman"/>
          <w:sz w:val="24"/>
          <w:szCs w:val="24"/>
          <w:shd w:val="clear" w:color="auto" w:fill="FFFFFF"/>
        </w:rPr>
        <w:t>nos parece seguir incidiendo en la naturaleza de estos registros para afirmar que</w:t>
      </w:r>
      <w:r w:rsidR="00841453" w:rsidRPr="006730E3">
        <w:rPr>
          <w:rFonts w:ascii="Calibri" w:hAnsi="Calibri" w:cs="Times New Roman"/>
          <w:sz w:val="24"/>
          <w:szCs w:val="24"/>
          <w:shd w:val="clear" w:color="auto" w:fill="FFFFFF"/>
        </w:rPr>
        <w:t>, por su organización y funcionamiento, el RPHG se trate de un registro administrativo</w:t>
      </w:r>
      <w:r w:rsidR="00841453" w:rsidRPr="006730E3">
        <w:rPr>
          <w:rStyle w:val="Refdenotaalpie"/>
          <w:rFonts w:ascii="Calibri" w:hAnsi="Calibri" w:cs="Times New Roman"/>
          <w:sz w:val="24"/>
          <w:szCs w:val="24"/>
          <w:shd w:val="clear" w:color="auto" w:fill="FFFFFF"/>
        </w:rPr>
        <w:footnoteReference w:id="102"/>
      </w:r>
      <w:r w:rsidR="009C2DCB" w:rsidRPr="006730E3">
        <w:rPr>
          <w:rFonts w:ascii="Calibri" w:hAnsi="Calibri" w:cs="Times New Roman"/>
          <w:sz w:val="24"/>
          <w:szCs w:val="24"/>
          <w:shd w:val="clear" w:color="auto" w:fill="FFFFFF"/>
        </w:rPr>
        <w:t>.</w:t>
      </w:r>
      <w:r w:rsidR="00841453" w:rsidRPr="006730E3">
        <w:rPr>
          <w:rFonts w:ascii="Calibri" w:hAnsi="Calibri" w:cs="Times New Roman"/>
          <w:sz w:val="24"/>
          <w:szCs w:val="24"/>
          <w:shd w:val="clear" w:color="auto" w:fill="FFFFFF"/>
        </w:rPr>
        <w:t xml:space="preserve"> </w:t>
      </w:r>
      <w:r w:rsidR="009C2DCB" w:rsidRPr="006730E3">
        <w:rPr>
          <w:rFonts w:ascii="Calibri" w:hAnsi="Calibri" w:cs="Times New Roman"/>
          <w:sz w:val="24"/>
          <w:szCs w:val="24"/>
          <w:shd w:val="clear" w:color="auto" w:fill="FFFFFF"/>
        </w:rPr>
        <w:t>Debemos tener en cuenta que</w:t>
      </w:r>
      <w:r w:rsidR="00841453" w:rsidRPr="006730E3">
        <w:rPr>
          <w:rFonts w:ascii="Calibri" w:hAnsi="Calibri" w:cs="Times New Roman"/>
          <w:sz w:val="24"/>
          <w:szCs w:val="24"/>
          <w:shd w:val="clear" w:color="auto" w:fill="FFFFFF"/>
        </w:rPr>
        <w:t xml:space="preserve"> al encargado del mismo se le atribuye</w:t>
      </w:r>
      <w:r w:rsidR="00201880" w:rsidRPr="006730E3">
        <w:rPr>
          <w:rFonts w:ascii="Calibri" w:hAnsi="Calibri" w:cs="Times New Roman"/>
          <w:sz w:val="24"/>
          <w:szCs w:val="24"/>
          <w:shd w:val="clear" w:color="auto" w:fill="FFFFFF"/>
        </w:rPr>
        <w:t>n</w:t>
      </w:r>
      <w:r w:rsidR="00841453" w:rsidRPr="006730E3">
        <w:rPr>
          <w:rFonts w:ascii="Calibri" w:hAnsi="Calibri" w:cs="Times New Roman"/>
          <w:sz w:val="24"/>
          <w:szCs w:val="24"/>
          <w:shd w:val="clear" w:color="auto" w:fill="FFFFFF"/>
        </w:rPr>
        <w:t xml:space="preserve"> </w:t>
      </w:r>
      <w:r w:rsidR="00201880" w:rsidRPr="006730E3">
        <w:rPr>
          <w:rFonts w:ascii="Calibri" w:hAnsi="Calibri" w:cs="Times New Roman"/>
          <w:sz w:val="24"/>
          <w:szCs w:val="24"/>
          <w:shd w:val="clear" w:color="auto" w:fill="FFFFFF"/>
        </w:rPr>
        <w:t>funciones</w:t>
      </w:r>
      <w:r w:rsidR="00841453" w:rsidRPr="006730E3">
        <w:rPr>
          <w:rFonts w:ascii="Calibri" w:hAnsi="Calibri" w:cs="Times New Roman"/>
          <w:sz w:val="24"/>
          <w:szCs w:val="24"/>
          <w:shd w:val="clear" w:color="auto" w:fill="FFFFFF"/>
        </w:rPr>
        <w:t xml:space="preserve"> calificadora</w:t>
      </w:r>
      <w:r w:rsidR="00201880" w:rsidRPr="006730E3">
        <w:rPr>
          <w:rFonts w:ascii="Calibri" w:hAnsi="Calibri" w:cs="Times New Roman"/>
          <w:sz w:val="24"/>
          <w:szCs w:val="24"/>
          <w:shd w:val="clear" w:color="auto" w:fill="FFFFFF"/>
        </w:rPr>
        <w:t>s</w:t>
      </w:r>
      <w:r w:rsidR="004350BF" w:rsidRPr="006730E3">
        <w:rPr>
          <w:rFonts w:ascii="Calibri" w:hAnsi="Calibri" w:cs="Times New Roman"/>
          <w:sz w:val="24"/>
          <w:szCs w:val="24"/>
          <w:shd w:val="clear" w:color="auto" w:fill="FFFFFF"/>
        </w:rPr>
        <w:t xml:space="preserve"> que parece</w:t>
      </w:r>
      <w:r w:rsidR="00201880" w:rsidRPr="006730E3">
        <w:rPr>
          <w:rFonts w:ascii="Calibri" w:hAnsi="Calibri" w:cs="Times New Roman"/>
          <w:sz w:val="24"/>
          <w:szCs w:val="24"/>
          <w:shd w:val="clear" w:color="auto" w:fill="FFFFFF"/>
        </w:rPr>
        <w:t>n</w:t>
      </w:r>
      <w:r w:rsidR="004350BF" w:rsidRPr="006730E3">
        <w:rPr>
          <w:rFonts w:ascii="Calibri" w:hAnsi="Calibri" w:cs="Times New Roman"/>
          <w:sz w:val="24"/>
          <w:szCs w:val="24"/>
          <w:shd w:val="clear" w:color="auto" w:fill="FFFFFF"/>
        </w:rPr>
        <w:t xml:space="preserve"> haberse ideado tomando como modelo </w:t>
      </w:r>
      <w:r w:rsidR="00201880" w:rsidRPr="006730E3">
        <w:rPr>
          <w:rFonts w:ascii="Calibri" w:hAnsi="Calibri" w:cs="Times New Roman"/>
          <w:sz w:val="24"/>
          <w:szCs w:val="24"/>
          <w:shd w:val="clear" w:color="auto" w:fill="FFFFFF"/>
        </w:rPr>
        <w:t>las</w:t>
      </w:r>
      <w:r w:rsidR="004350BF" w:rsidRPr="006730E3">
        <w:rPr>
          <w:rFonts w:ascii="Calibri" w:hAnsi="Calibri" w:cs="Times New Roman"/>
          <w:sz w:val="24"/>
          <w:szCs w:val="24"/>
          <w:shd w:val="clear" w:color="auto" w:fill="FFFFFF"/>
        </w:rPr>
        <w:t xml:space="preserve"> de los encargados de registros </w:t>
      </w:r>
      <w:r w:rsidR="009C2DCB" w:rsidRPr="006730E3">
        <w:rPr>
          <w:rFonts w:ascii="Calibri" w:hAnsi="Calibri" w:cs="Times New Roman"/>
          <w:sz w:val="24"/>
          <w:szCs w:val="24"/>
          <w:shd w:val="clear" w:color="auto" w:fill="FFFFFF"/>
        </w:rPr>
        <w:t>productores de efectos</w:t>
      </w:r>
      <w:r w:rsidR="004350BF" w:rsidRPr="006730E3">
        <w:rPr>
          <w:rFonts w:ascii="Calibri" w:hAnsi="Calibri" w:cs="Times New Roman"/>
          <w:sz w:val="24"/>
          <w:szCs w:val="24"/>
          <w:shd w:val="clear" w:color="auto" w:fill="FFFFFF"/>
        </w:rPr>
        <w:t xml:space="preserve"> sustantivos</w:t>
      </w:r>
      <w:r w:rsidR="004350BF" w:rsidRPr="006730E3">
        <w:rPr>
          <w:rStyle w:val="Refdenotaalpie"/>
          <w:rFonts w:ascii="Calibri" w:hAnsi="Calibri" w:cs="Times New Roman"/>
          <w:sz w:val="24"/>
          <w:szCs w:val="24"/>
          <w:shd w:val="clear" w:color="auto" w:fill="FFFFFF"/>
        </w:rPr>
        <w:footnoteReference w:id="103"/>
      </w:r>
      <w:r w:rsidR="00841453" w:rsidRPr="006730E3">
        <w:rPr>
          <w:rFonts w:ascii="Calibri" w:hAnsi="Calibri" w:cs="Times New Roman"/>
          <w:sz w:val="24"/>
          <w:szCs w:val="24"/>
          <w:shd w:val="clear" w:color="auto" w:fill="FFFFFF"/>
        </w:rPr>
        <w:t xml:space="preserve">. Según el art. 18.1 del Decreto de 2007, </w:t>
      </w:r>
      <w:r w:rsidR="009E2BE5" w:rsidRPr="006730E3">
        <w:rPr>
          <w:rFonts w:ascii="Calibri" w:hAnsi="Calibri" w:cs="Times New Roman"/>
          <w:sz w:val="24"/>
          <w:szCs w:val="24"/>
          <w:shd w:val="clear" w:color="auto" w:fill="FFFFFF"/>
        </w:rPr>
        <w:t>«la persona encargada del registro calificará las solicitudes presentadas, la acreditación de los requisitos exigidos por la ley y la legalidad de los derechos y obligaciones contenidos en los pactos que aporta la pareja solicitante</w:t>
      </w:r>
      <w:r w:rsidR="00850C6D" w:rsidRPr="006730E3">
        <w:rPr>
          <w:rFonts w:ascii="Calibri" w:hAnsi="Calibri" w:cs="Times New Roman"/>
          <w:sz w:val="24"/>
          <w:szCs w:val="24"/>
          <w:shd w:val="clear" w:color="auto" w:fill="FFFFFF"/>
        </w:rPr>
        <w:t xml:space="preserve"> y efectuará una propuesta de resolución</w:t>
      </w:r>
      <w:r w:rsidR="009E2BE5" w:rsidRPr="006730E3">
        <w:rPr>
          <w:rFonts w:ascii="Calibri" w:hAnsi="Calibri" w:cs="Times New Roman"/>
          <w:sz w:val="24"/>
          <w:szCs w:val="24"/>
          <w:shd w:val="clear" w:color="auto" w:fill="FFFFFF"/>
        </w:rPr>
        <w:t>»</w:t>
      </w:r>
      <w:r w:rsidR="001F3901" w:rsidRPr="006730E3">
        <w:rPr>
          <w:rFonts w:ascii="Calibri" w:hAnsi="Calibri" w:cs="Times New Roman"/>
          <w:sz w:val="24"/>
          <w:szCs w:val="24"/>
          <w:shd w:val="clear" w:color="auto" w:fill="FFFFFF"/>
        </w:rPr>
        <w:t xml:space="preserve">; función de revisión del contenido de los eventuales pactos </w:t>
      </w:r>
      <w:r w:rsidR="004350BF" w:rsidRPr="006730E3">
        <w:rPr>
          <w:rFonts w:ascii="Calibri" w:hAnsi="Calibri" w:cs="Times New Roman"/>
          <w:sz w:val="24"/>
          <w:szCs w:val="24"/>
          <w:shd w:val="clear" w:color="auto" w:fill="FFFFFF"/>
        </w:rPr>
        <w:t xml:space="preserve">patrimoniales </w:t>
      </w:r>
      <w:r w:rsidR="001F3901" w:rsidRPr="006730E3">
        <w:rPr>
          <w:rFonts w:ascii="Calibri" w:hAnsi="Calibri" w:cs="Times New Roman"/>
          <w:sz w:val="24"/>
          <w:szCs w:val="24"/>
          <w:shd w:val="clear" w:color="auto" w:fill="FFFFFF"/>
        </w:rPr>
        <w:t>atribuida a un funcionario especializado en Derecho público, no en De</w:t>
      </w:r>
      <w:r w:rsidR="00DB30F7" w:rsidRPr="006730E3">
        <w:rPr>
          <w:rFonts w:ascii="Calibri" w:hAnsi="Calibri" w:cs="Times New Roman"/>
          <w:sz w:val="24"/>
          <w:szCs w:val="24"/>
          <w:shd w:val="clear" w:color="auto" w:fill="FFFFFF"/>
        </w:rPr>
        <w:t>recho privado</w:t>
      </w:r>
      <w:r w:rsidR="00D5436E" w:rsidRPr="006730E3">
        <w:rPr>
          <w:rFonts w:ascii="Calibri" w:hAnsi="Calibri" w:cs="Times New Roman"/>
          <w:sz w:val="24"/>
          <w:szCs w:val="24"/>
          <w:shd w:val="clear" w:color="auto" w:fill="FFFFFF"/>
        </w:rPr>
        <w:t>,</w:t>
      </w:r>
      <w:r w:rsidR="00DB30F7" w:rsidRPr="006730E3">
        <w:rPr>
          <w:rFonts w:ascii="Calibri" w:hAnsi="Calibri" w:cs="Times New Roman"/>
          <w:sz w:val="24"/>
          <w:szCs w:val="24"/>
          <w:shd w:val="clear" w:color="auto" w:fill="FFFFFF"/>
        </w:rPr>
        <w:t xml:space="preserve"> </w:t>
      </w:r>
      <w:r w:rsidR="00E049DF" w:rsidRPr="006730E3">
        <w:rPr>
          <w:rFonts w:ascii="Calibri" w:hAnsi="Calibri" w:cs="Times New Roman"/>
          <w:sz w:val="24"/>
          <w:szCs w:val="24"/>
          <w:shd w:val="clear" w:color="auto" w:fill="FFFFFF"/>
        </w:rPr>
        <w:t>pero</w:t>
      </w:r>
      <w:r w:rsidR="00201880" w:rsidRPr="006730E3">
        <w:rPr>
          <w:rFonts w:ascii="Calibri" w:hAnsi="Calibri" w:cs="Times New Roman"/>
          <w:sz w:val="24"/>
          <w:szCs w:val="24"/>
          <w:shd w:val="clear" w:color="auto" w:fill="FFFFFF"/>
        </w:rPr>
        <w:t xml:space="preserve"> </w:t>
      </w:r>
      <w:r w:rsidR="00DB30F7" w:rsidRPr="006730E3">
        <w:rPr>
          <w:rFonts w:ascii="Calibri" w:hAnsi="Calibri" w:cs="Times New Roman"/>
          <w:sz w:val="24"/>
          <w:szCs w:val="24"/>
          <w:shd w:val="clear" w:color="auto" w:fill="FFFFFF"/>
        </w:rPr>
        <w:t>que no se limita a comprobar la mera existencia de la pareja de conformidad con los requisitos legales.</w:t>
      </w:r>
      <w:r w:rsidR="00D5436E" w:rsidRPr="006730E3">
        <w:rPr>
          <w:rFonts w:ascii="Calibri" w:hAnsi="Calibri" w:cs="Times New Roman"/>
          <w:sz w:val="24"/>
          <w:szCs w:val="24"/>
          <w:shd w:val="clear" w:color="auto" w:fill="FFFFFF"/>
        </w:rPr>
        <w:t xml:space="preserve"> Por si fuese necesario, aclaremos que no se pretende desmerecer la formación de los encargados del RPHG. Muy al contrario</w:t>
      </w:r>
      <w:r w:rsidR="005E35B0" w:rsidRPr="006730E3">
        <w:rPr>
          <w:rFonts w:ascii="Calibri" w:hAnsi="Calibri" w:cs="Times New Roman"/>
          <w:sz w:val="24"/>
          <w:szCs w:val="24"/>
          <w:shd w:val="clear" w:color="auto" w:fill="FFFFFF"/>
        </w:rPr>
        <w:t>,</w:t>
      </w:r>
      <w:r w:rsidR="00D5436E" w:rsidRPr="006730E3">
        <w:rPr>
          <w:rFonts w:ascii="Calibri" w:hAnsi="Calibri" w:cs="Times New Roman"/>
          <w:sz w:val="24"/>
          <w:szCs w:val="24"/>
          <w:shd w:val="clear" w:color="auto" w:fill="FFFFFF"/>
        </w:rPr>
        <w:t xml:space="preserve"> queremos criticar al legislador gallego por encomendarles una tarea, la de calificación,</w:t>
      </w:r>
      <w:r w:rsidR="005E35B0" w:rsidRPr="006730E3">
        <w:rPr>
          <w:rFonts w:ascii="Calibri" w:hAnsi="Calibri" w:cs="Times New Roman"/>
          <w:sz w:val="24"/>
          <w:szCs w:val="24"/>
          <w:shd w:val="clear" w:color="auto" w:fill="FFFFFF"/>
        </w:rPr>
        <w:t xml:space="preserve"> que posiblemente excede de sus funciones.</w:t>
      </w:r>
    </w:p>
    <w:p w:rsidR="008D5C0B" w:rsidRPr="006730E3" w:rsidRDefault="00201880"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En definitiva, en atención a estas consideraciones opinamos que el legislador gallego ha creado un registro</w:t>
      </w:r>
      <w:r w:rsidR="009C2DCB" w:rsidRPr="006730E3">
        <w:rPr>
          <w:rFonts w:ascii="Calibri" w:hAnsi="Calibri" w:cs="Times New Roman"/>
          <w:sz w:val="24"/>
          <w:szCs w:val="24"/>
          <w:shd w:val="clear" w:color="auto" w:fill="FFFFFF"/>
        </w:rPr>
        <w:t xml:space="preserve"> </w:t>
      </w:r>
      <w:r w:rsidR="009C2DCB" w:rsidRPr="006730E3">
        <w:rPr>
          <w:rFonts w:ascii="Calibri" w:hAnsi="Calibri" w:cs="Times New Roman"/>
          <w:i/>
          <w:sz w:val="24"/>
          <w:szCs w:val="24"/>
          <w:shd w:val="clear" w:color="auto" w:fill="FFFFFF"/>
        </w:rPr>
        <w:t>sui generis</w:t>
      </w:r>
      <w:r w:rsidR="002E66C4" w:rsidRPr="006730E3">
        <w:rPr>
          <w:rFonts w:ascii="Calibri" w:hAnsi="Calibri" w:cs="Times New Roman"/>
          <w:sz w:val="24"/>
          <w:szCs w:val="24"/>
          <w:shd w:val="clear" w:color="auto" w:fill="FFFFFF"/>
        </w:rPr>
        <w:t>,</w:t>
      </w:r>
      <w:r w:rsidRPr="006730E3">
        <w:rPr>
          <w:rFonts w:ascii="Calibri" w:hAnsi="Calibri" w:cs="Times New Roman"/>
          <w:sz w:val="24"/>
          <w:szCs w:val="24"/>
          <w:shd w:val="clear" w:color="auto" w:fill="FFFFFF"/>
        </w:rPr>
        <w:t xml:space="preserve"> a caballo entre </w:t>
      </w:r>
      <w:r w:rsidR="009C2DCB" w:rsidRPr="006730E3">
        <w:rPr>
          <w:rFonts w:ascii="Calibri" w:hAnsi="Calibri" w:cs="Times New Roman"/>
          <w:sz w:val="24"/>
          <w:szCs w:val="24"/>
          <w:shd w:val="clear" w:color="auto" w:fill="FFFFFF"/>
        </w:rPr>
        <w:t xml:space="preserve">los que tienen trascendencia limitada al ámbito del Derecho público y aquéllos cuyos efectos se proyectan en las relaciones entre particulares, </w:t>
      </w:r>
      <w:r w:rsidR="002E66C4" w:rsidRPr="006730E3">
        <w:rPr>
          <w:rFonts w:ascii="Calibri" w:hAnsi="Calibri" w:cs="Times New Roman"/>
          <w:sz w:val="24"/>
          <w:szCs w:val="24"/>
          <w:shd w:val="clear" w:color="auto" w:fill="FFFFFF"/>
        </w:rPr>
        <w:t>que entremezcla</w:t>
      </w:r>
      <w:r w:rsidRPr="006730E3">
        <w:rPr>
          <w:rFonts w:ascii="Calibri" w:hAnsi="Calibri" w:cs="Times New Roman"/>
          <w:sz w:val="24"/>
          <w:szCs w:val="24"/>
          <w:shd w:val="clear" w:color="auto" w:fill="FFFFFF"/>
        </w:rPr>
        <w:t xml:space="preserve"> la apariencia </w:t>
      </w:r>
      <w:r w:rsidR="0046253D" w:rsidRPr="006730E3">
        <w:rPr>
          <w:rFonts w:ascii="Calibri" w:hAnsi="Calibri" w:cs="Times New Roman"/>
          <w:sz w:val="24"/>
          <w:szCs w:val="24"/>
          <w:shd w:val="clear" w:color="auto" w:fill="FFFFFF"/>
        </w:rPr>
        <w:t xml:space="preserve">y estructura </w:t>
      </w:r>
      <w:r w:rsidRPr="006730E3">
        <w:rPr>
          <w:rFonts w:ascii="Calibri" w:hAnsi="Calibri" w:cs="Times New Roman"/>
          <w:sz w:val="24"/>
          <w:szCs w:val="24"/>
          <w:shd w:val="clear" w:color="auto" w:fill="FFFFFF"/>
        </w:rPr>
        <w:t>de</w:t>
      </w:r>
      <w:r w:rsidR="0046253D" w:rsidRPr="006730E3">
        <w:rPr>
          <w:rFonts w:ascii="Calibri" w:hAnsi="Calibri" w:cs="Times New Roman"/>
          <w:sz w:val="24"/>
          <w:szCs w:val="24"/>
          <w:shd w:val="clear" w:color="auto" w:fill="FFFFFF"/>
        </w:rPr>
        <w:t xml:space="preserve"> </w:t>
      </w:r>
      <w:r w:rsidRPr="006730E3">
        <w:rPr>
          <w:rFonts w:ascii="Calibri" w:hAnsi="Calibri" w:cs="Times New Roman"/>
          <w:sz w:val="24"/>
          <w:szCs w:val="24"/>
          <w:shd w:val="clear" w:color="auto" w:fill="FFFFFF"/>
        </w:rPr>
        <w:t>l</w:t>
      </w:r>
      <w:r w:rsidR="0046253D" w:rsidRPr="006730E3">
        <w:rPr>
          <w:rFonts w:ascii="Calibri" w:hAnsi="Calibri" w:cs="Times New Roman"/>
          <w:sz w:val="24"/>
          <w:szCs w:val="24"/>
          <w:shd w:val="clear" w:color="auto" w:fill="FFFFFF"/>
        </w:rPr>
        <w:t>os</w:t>
      </w:r>
      <w:r w:rsidRPr="006730E3">
        <w:rPr>
          <w:rFonts w:ascii="Calibri" w:hAnsi="Calibri" w:cs="Times New Roman"/>
          <w:sz w:val="24"/>
          <w:szCs w:val="24"/>
          <w:shd w:val="clear" w:color="auto" w:fill="FFFFFF"/>
        </w:rPr>
        <w:t xml:space="preserve"> primero</w:t>
      </w:r>
      <w:r w:rsidR="0046253D" w:rsidRPr="006730E3">
        <w:rPr>
          <w:rFonts w:ascii="Calibri" w:hAnsi="Calibri" w:cs="Times New Roman"/>
          <w:sz w:val="24"/>
          <w:szCs w:val="24"/>
          <w:shd w:val="clear" w:color="auto" w:fill="FFFFFF"/>
        </w:rPr>
        <w:t>s</w:t>
      </w:r>
      <w:r w:rsidRPr="006730E3">
        <w:rPr>
          <w:rFonts w:ascii="Calibri" w:hAnsi="Calibri" w:cs="Times New Roman"/>
          <w:sz w:val="24"/>
          <w:szCs w:val="24"/>
          <w:shd w:val="clear" w:color="auto" w:fill="FFFFFF"/>
        </w:rPr>
        <w:t xml:space="preserve"> con características</w:t>
      </w:r>
      <w:r w:rsidR="0046253D" w:rsidRPr="006730E3">
        <w:rPr>
          <w:rFonts w:ascii="Calibri" w:hAnsi="Calibri" w:cs="Times New Roman"/>
          <w:sz w:val="24"/>
          <w:szCs w:val="24"/>
          <w:shd w:val="clear" w:color="auto" w:fill="FFFFFF"/>
        </w:rPr>
        <w:t xml:space="preserve"> y funciones</w:t>
      </w:r>
      <w:r w:rsidRPr="006730E3">
        <w:rPr>
          <w:rFonts w:ascii="Calibri" w:hAnsi="Calibri" w:cs="Times New Roman"/>
          <w:sz w:val="24"/>
          <w:szCs w:val="24"/>
          <w:shd w:val="clear" w:color="auto" w:fill="FFFFFF"/>
        </w:rPr>
        <w:t xml:space="preserve"> pro</w:t>
      </w:r>
      <w:r w:rsidR="00D72B9C" w:rsidRPr="006730E3">
        <w:rPr>
          <w:rFonts w:ascii="Calibri" w:hAnsi="Calibri" w:cs="Times New Roman"/>
          <w:sz w:val="24"/>
          <w:szCs w:val="24"/>
          <w:shd w:val="clear" w:color="auto" w:fill="FFFFFF"/>
        </w:rPr>
        <w:t>pias de los segundos. P</w:t>
      </w:r>
      <w:r w:rsidR="0046253D" w:rsidRPr="006730E3">
        <w:rPr>
          <w:rFonts w:ascii="Calibri" w:hAnsi="Calibri" w:cs="Times New Roman"/>
          <w:sz w:val="24"/>
          <w:szCs w:val="24"/>
          <w:shd w:val="clear" w:color="auto" w:fill="FFFFFF"/>
        </w:rPr>
        <w:t xml:space="preserve">or ello, nos sumamos a las opiniones de </w:t>
      </w:r>
      <w:r w:rsidR="00D72B9C" w:rsidRPr="006730E3">
        <w:rPr>
          <w:rFonts w:ascii="Calibri" w:hAnsi="Calibri" w:cs="Times New Roman"/>
          <w:sz w:val="24"/>
          <w:szCs w:val="24"/>
          <w:shd w:val="clear" w:color="auto" w:fill="FFFFFF"/>
        </w:rPr>
        <w:t>quienes niegan su encaje en el marco constitucional</w:t>
      </w:r>
      <w:r w:rsidR="0046253D" w:rsidRPr="006730E3">
        <w:rPr>
          <w:rStyle w:val="Refdenotaalpie"/>
          <w:rFonts w:ascii="Calibri" w:hAnsi="Calibri" w:cs="Times New Roman"/>
          <w:sz w:val="24"/>
          <w:szCs w:val="24"/>
          <w:shd w:val="clear" w:color="auto" w:fill="FFFFFF"/>
        </w:rPr>
        <w:footnoteReference w:id="104"/>
      </w:r>
      <w:r w:rsidR="0046253D" w:rsidRPr="006730E3">
        <w:rPr>
          <w:rFonts w:ascii="Calibri" w:hAnsi="Calibri" w:cs="Times New Roman"/>
          <w:sz w:val="24"/>
          <w:szCs w:val="24"/>
          <w:shd w:val="clear" w:color="auto" w:fill="FFFFFF"/>
        </w:rPr>
        <w:t>.</w:t>
      </w:r>
    </w:p>
    <w:p w:rsidR="00D67D92" w:rsidRPr="006730E3" w:rsidRDefault="00D67D92" w:rsidP="00416B3A">
      <w:pPr>
        <w:spacing w:line="312" w:lineRule="auto"/>
        <w:jc w:val="both"/>
        <w:rPr>
          <w:rFonts w:ascii="Calibri" w:hAnsi="Calibri" w:cs="Times New Roman"/>
          <w:sz w:val="24"/>
          <w:szCs w:val="24"/>
          <w:shd w:val="clear" w:color="auto" w:fill="FFFFFF"/>
        </w:rPr>
      </w:pPr>
    </w:p>
    <w:p w:rsidR="00686588" w:rsidRPr="00A81597" w:rsidRDefault="00686588" w:rsidP="00416B3A">
      <w:pPr>
        <w:spacing w:line="312" w:lineRule="auto"/>
        <w:jc w:val="both"/>
        <w:rPr>
          <w:rFonts w:ascii="Calibri" w:hAnsi="Calibri" w:cs="Times New Roman"/>
          <w:sz w:val="24"/>
          <w:szCs w:val="24"/>
          <w:shd w:val="clear" w:color="auto" w:fill="FFFFFF"/>
        </w:rPr>
      </w:pPr>
      <w:r w:rsidRPr="00A81597">
        <w:rPr>
          <w:rFonts w:ascii="Calibri" w:hAnsi="Calibri" w:cs="Times New Roman"/>
          <w:sz w:val="24"/>
          <w:szCs w:val="24"/>
          <w:shd w:val="clear" w:color="auto" w:fill="FFFFFF"/>
        </w:rPr>
        <w:lastRenderedPageBreak/>
        <w:t xml:space="preserve">2.2.3. La eficacia y alcance </w:t>
      </w:r>
      <w:r w:rsidR="00B7594D" w:rsidRPr="00A81597">
        <w:rPr>
          <w:rFonts w:ascii="Calibri" w:hAnsi="Calibri" w:cs="Times New Roman"/>
          <w:sz w:val="24"/>
          <w:szCs w:val="24"/>
          <w:shd w:val="clear" w:color="auto" w:fill="FFFFFF"/>
        </w:rPr>
        <w:t xml:space="preserve">práctico </w:t>
      </w:r>
      <w:r w:rsidRPr="00A81597">
        <w:rPr>
          <w:rFonts w:ascii="Calibri" w:hAnsi="Calibri" w:cs="Times New Roman"/>
          <w:sz w:val="24"/>
          <w:szCs w:val="24"/>
          <w:shd w:val="clear" w:color="auto" w:fill="FFFFFF"/>
        </w:rPr>
        <w:t>del sistema creado</w:t>
      </w:r>
    </w:p>
    <w:p w:rsidR="00F1417A" w:rsidRPr="006730E3" w:rsidRDefault="008D5C0B"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Recordemos que l</w:t>
      </w:r>
      <w:r w:rsidR="005E02A6" w:rsidRPr="006730E3">
        <w:rPr>
          <w:rFonts w:ascii="Calibri" w:hAnsi="Calibri" w:cs="Times New Roman"/>
          <w:sz w:val="24"/>
          <w:szCs w:val="24"/>
        </w:rPr>
        <w:t xml:space="preserve">a </w:t>
      </w:r>
      <w:r w:rsidR="00B84F63" w:rsidRPr="006730E3">
        <w:rPr>
          <w:rFonts w:ascii="Calibri" w:hAnsi="Calibri" w:cs="Times New Roman"/>
          <w:sz w:val="24"/>
          <w:szCs w:val="24"/>
        </w:rPr>
        <w:t>reforma de 2007</w:t>
      </w:r>
      <w:r w:rsidRPr="006730E3">
        <w:rPr>
          <w:rFonts w:ascii="Calibri" w:hAnsi="Calibri" w:cs="Times New Roman"/>
          <w:sz w:val="24"/>
          <w:szCs w:val="24"/>
        </w:rPr>
        <w:t xml:space="preserve">, aunque no se dice alto y claro en ningún lugar, </w:t>
      </w:r>
      <w:r w:rsidR="005E02A6" w:rsidRPr="006730E3">
        <w:rPr>
          <w:rFonts w:ascii="Calibri" w:hAnsi="Calibri" w:cs="Times New Roman"/>
          <w:sz w:val="24"/>
          <w:szCs w:val="24"/>
        </w:rPr>
        <w:t>prete</w:t>
      </w:r>
      <w:r w:rsidR="004D0D5B" w:rsidRPr="006730E3">
        <w:rPr>
          <w:rFonts w:ascii="Calibri" w:hAnsi="Calibri" w:cs="Times New Roman"/>
          <w:sz w:val="24"/>
          <w:szCs w:val="24"/>
        </w:rPr>
        <w:t>nde</w:t>
      </w:r>
      <w:r w:rsidR="00942130" w:rsidRPr="006730E3">
        <w:rPr>
          <w:rFonts w:ascii="Calibri" w:hAnsi="Calibri" w:cs="Times New Roman"/>
          <w:sz w:val="24"/>
          <w:szCs w:val="24"/>
        </w:rPr>
        <w:t xml:space="preserve"> </w:t>
      </w:r>
      <w:r w:rsidRPr="006730E3">
        <w:rPr>
          <w:rFonts w:ascii="Calibri" w:hAnsi="Calibri" w:cs="Times New Roman"/>
          <w:sz w:val="24"/>
          <w:szCs w:val="24"/>
        </w:rPr>
        <w:t>exteriorizar</w:t>
      </w:r>
      <w:r w:rsidR="000B29C7" w:rsidRPr="006730E3">
        <w:rPr>
          <w:rFonts w:ascii="Calibri" w:hAnsi="Calibri" w:cs="Times New Roman"/>
          <w:sz w:val="24"/>
          <w:szCs w:val="24"/>
        </w:rPr>
        <w:t xml:space="preserve"> la constitución de la pareja de hecho, sus efectos y, particularmente, el régimen económico </w:t>
      </w:r>
      <w:r w:rsidR="007B0BA4" w:rsidRPr="006730E3">
        <w:rPr>
          <w:rFonts w:ascii="Calibri" w:hAnsi="Calibri" w:cs="Times New Roman"/>
          <w:sz w:val="24"/>
          <w:szCs w:val="24"/>
        </w:rPr>
        <w:t xml:space="preserve">de los convivientes </w:t>
      </w:r>
      <w:r w:rsidR="00671798" w:rsidRPr="006730E3">
        <w:rPr>
          <w:rFonts w:ascii="Calibri" w:hAnsi="Calibri" w:cs="Times New Roman"/>
          <w:sz w:val="24"/>
          <w:szCs w:val="24"/>
        </w:rPr>
        <w:t>para que</w:t>
      </w:r>
      <w:r w:rsidR="005E02A6" w:rsidRPr="006730E3">
        <w:rPr>
          <w:rFonts w:ascii="Calibri" w:hAnsi="Calibri" w:cs="Times New Roman"/>
          <w:sz w:val="24"/>
          <w:szCs w:val="24"/>
        </w:rPr>
        <w:t>, consiguientemente,</w:t>
      </w:r>
      <w:r w:rsidR="00671798" w:rsidRPr="006730E3">
        <w:rPr>
          <w:rFonts w:ascii="Calibri" w:hAnsi="Calibri" w:cs="Times New Roman"/>
          <w:sz w:val="24"/>
          <w:szCs w:val="24"/>
        </w:rPr>
        <w:t xml:space="preserve"> s</w:t>
      </w:r>
      <w:r w:rsidR="005E02A6" w:rsidRPr="006730E3">
        <w:rPr>
          <w:rFonts w:ascii="Calibri" w:hAnsi="Calibri" w:cs="Times New Roman"/>
          <w:sz w:val="24"/>
          <w:szCs w:val="24"/>
        </w:rPr>
        <w:t>e</w:t>
      </w:r>
      <w:r w:rsidR="00671798" w:rsidRPr="006730E3">
        <w:rPr>
          <w:rFonts w:ascii="Calibri" w:hAnsi="Calibri" w:cs="Times New Roman"/>
          <w:sz w:val="24"/>
          <w:szCs w:val="24"/>
        </w:rPr>
        <w:t>an oponibles frente a terceros</w:t>
      </w:r>
      <w:r w:rsidR="007B0BA4" w:rsidRPr="006730E3">
        <w:rPr>
          <w:rFonts w:ascii="Calibri" w:hAnsi="Calibri" w:cs="Times New Roman"/>
          <w:sz w:val="24"/>
          <w:szCs w:val="24"/>
        </w:rPr>
        <w:t>. Entendemos que, en otro caso,</w:t>
      </w:r>
      <w:r w:rsidRPr="006730E3">
        <w:rPr>
          <w:rFonts w:ascii="Calibri" w:hAnsi="Calibri" w:cs="Times New Roman"/>
          <w:sz w:val="24"/>
          <w:szCs w:val="24"/>
        </w:rPr>
        <w:t xml:space="preserve"> carecería de sentido la creación </w:t>
      </w:r>
      <w:r w:rsidR="007B0BA4" w:rsidRPr="006730E3">
        <w:rPr>
          <w:rFonts w:ascii="Calibri" w:hAnsi="Calibri" w:cs="Times New Roman"/>
          <w:sz w:val="24"/>
          <w:szCs w:val="24"/>
        </w:rPr>
        <w:t>de un registro con las características del RPHG</w:t>
      </w:r>
      <w:r w:rsidR="00671798" w:rsidRPr="006730E3">
        <w:rPr>
          <w:rFonts w:ascii="Calibri" w:hAnsi="Calibri" w:cs="Times New Roman"/>
          <w:sz w:val="24"/>
          <w:szCs w:val="24"/>
        </w:rPr>
        <w:t>.</w:t>
      </w:r>
      <w:r w:rsidR="004C376E" w:rsidRPr="006730E3">
        <w:rPr>
          <w:rFonts w:ascii="Calibri" w:hAnsi="Calibri" w:cs="Times New Roman"/>
          <w:sz w:val="24"/>
          <w:szCs w:val="24"/>
        </w:rPr>
        <w:t xml:space="preserve"> </w:t>
      </w:r>
      <w:r w:rsidR="006709FF" w:rsidRPr="006730E3">
        <w:rPr>
          <w:rFonts w:ascii="Calibri" w:hAnsi="Calibri" w:cs="Times New Roman"/>
          <w:sz w:val="24"/>
          <w:szCs w:val="24"/>
        </w:rPr>
        <w:t>Pero, e</w:t>
      </w:r>
      <w:r w:rsidR="004D0D5B" w:rsidRPr="006730E3">
        <w:rPr>
          <w:rFonts w:ascii="Calibri" w:hAnsi="Calibri" w:cs="Times New Roman"/>
          <w:sz w:val="24"/>
          <w:szCs w:val="24"/>
        </w:rPr>
        <w:t>n efecto, se trata</w:t>
      </w:r>
      <w:r w:rsidR="007B0BA4" w:rsidRPr="006730E3">
        <w:rPr>
          <w:rFonts w:ascii="Calibri" w:hAnsi="Calibri" w:cs="Times New Roman"/>
          <w:sz w:val="24"/>
          <w:szCs w:val="24"/>
        </w:rPr>
        <w:t xml:space="preserve"> tan sólo de una pretensión que </w:t>
      </w:r>
      <w:r w:rsidR="004D0D5B" w:rsidRPr="006730E3">
        <w:rPr>
          <w:rFonts w:ascii="Calibri" w:hAnsi="Calibri" w:cs="Times New Roman"/>
          <w:sz w:val="24"/>
          <w:szCs w:val="24"/>
        </w:rPr>
        <w:t>no ha sido materializada con total plenitud</w:t>
      </w:r>
      <w:r w:rsidR="007B0BA4" w:rsidRPr="006730E3">
        <w:rPr>
          <w:rFonts w:ascii="Calibri" w:hAnsi="Calibri" w:cs="Times New Roman"/>
          <w:sz w:val="24"/>
          <w:szCs w:val="24"/>
        </w:rPr>
        <w:t xml:space="preserve">, como veremos, a la luz </w:t>
      </w:r>
      <w:r w:rsidR="00222B62" w:rsidRPr="006730E3">
        <w:rPr>
          <w:rFonts w:ascii="Calibri" w:hAnsi="Calibri" w:cs="Times New Roman"/>
          <w:sz w:val="24"/>
          <w:szCs w:val="24"/>
        </w:rPr>
        <w:t>d</w:t>
      </w:r>
      <w:r w:rsidR="005E02A6" w:rsidRPr="006730E3">
        <w:rPr>
          <w:rFonts w:ascii="Calibri" w:hAnsi="Calibri" w:cs="Times New Roman"/>
          <w:sz w:val="24"/>
          <w:szCs w:val="24"/>
        </w:rPr>
        <w:t xml:space="preserve">el </w:t>
      </w:r>
      <w:r w:rsidR="00E83FB3" w:rsidRPr="006730E3">
        <w:rPr>
          <w:rFonts w:ascii="Calibri" w:hAnsi="Calibri" w:cs="Times New Roman"/>
          <w:sz w:val="24"/>
          <w:szCs w:val="24"/>
        </w:rPr>
        <w:t>deficiente</w:t>
      </w:r>
      <w:r w:rsidR="005E02A6" w:rsidRPr="006730E3">
        <w:rPr>
          <w:rFonts w:ascii="Calibri" w:hAnsi="Calibri" w:cs="Times New Roman"/>
          <w:sz w:val="24"/>
          <w:szCs w:val="24"/>
        </w:rPr>
        <w:t xml:space="preserve"> sistema de</w:t>
      </w:r>
      <w:r w:rsidR="004D0D5B" w:rsidRPr="006730E3">
        <w:rPr>
          <w:rFonts w:ascii="Calibri" w:hAnsi="Calibri" w:cs="Times New Roman"/>
          <w:sz w:val="24"/>
          <w:szCs w:val="24"/>
        </w:rPr>
        <w:t xml:space="preserve"> publicidad </w:t>
      </w:r>
      <w:r w:rsidR="00657F80" w:rsidRPr="006730E3">
        <w:rPr>
          <w:rFonts w:ascii="Calibri" w:hAnsi="Calibri" w:cs="Times New Roman"/>
          <w:sz w:val="24"/>
          <w:szCs w:val="24"/>
        </w:rPr>
        <w:t>que el legislador ha implantado</w:t>
      </w:r>
      <w:r w:rsidR="00E83FB3" w:rsidRPr="006730E3">
        <w:rPr>
          <w:rFonts w:ascii="Calibri" w:hAnsi="Calibri" w:cs="Times New Roman"/>
          <w:sz w:val="24"/>
          <w:szCs w:val="24"/>
        </w:rPr>
        <w:t xml:space="preserve">. </w:t>
      </w:r>
    </w:p>
    <w:p w:rsidR="00F1417A" w:rsidRPr="006730E3" w:rsidRDefault="00E83FB3"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Si no ha habido pacto </w:t>
      </w:r>
      <w:r w:rsidR="00F1417A" w:rsidRPr="006730E3">
        <w:rPr>
          <w:rFonts w:ascii="Calibri" w:hAnsi="Calibri" w:cs="Times New Roman"/>
          <w:sz w:val="24"/>
          <w:szCs w:val="24"/>
        </w:rPr>
        <w:t xml:space="preserve">respecto de las relaciones patrimoniales de las partes </w:t>
      </w:r>
      <w:r w:rsidRPr="006730E3">
        <w:rPr>
          <w:rFonts w:ascii="Calibri" w:hAnsi="Calibri" w:cs="Times New Roman"/>
          <w:sz w:val="24"/>
          <w:szCs w:val="24"/>
        </w:rPr>
        <w:t xml:space="preserve">se </w:t>
      </w:r>
      <w:r w:rsidR="00C62014" w:rsidRPr="006730E3">
        <w:rPr>
          <w:rFonts w:ascii="Calibri" w:hAnsi="Calibri" w:cs="Times New Roman"/>
          <w:sz w:val="24"/>
          <w:szCs w:val="24"/>
        </w:rPr>
        <w:t>aplica</w:t>
      </w:r>
      <w:r w:rsidRPr="006730E3">
        <w:rPr>
          <w:rFonts w:ascii="Calibri" w:hAnsi="Calibri" w:cs="Times New Roman"/>
          <w:sz w:val="24"/>
          <w:szCs w:val="24"/>
        </w:rPr>
        <w:t xml:space="preserve">, como </w:t>
      </w:r>
      <w:r w:rsidR="00F1417A" w:rsidRPr="006730E3">
        <w:rPr>
          <w:rFonts w:ascii="Calibri" w:hAnsi="Calibri" w:cs="Times New Roman"/>
          <w:sz w:val="24"/>
          <w:szCs w:val="24"/>
        </w:rPr>
        <w:t>sabemos</w:t>
      </w:r>
      <w:r w:rsidRPr="006730E3">
        <w:rPr>
          <w:rFonts w:ascii="Calibri" w:hAnsi="Calibri" w:cs="Times New Roman"/>
          <w:sz w:val="24"/>
          <w:szCs w:val="24"/>
        </w:rPr>
        <w:t xml:space="preserve">, el régimen de la sociedad de gananciales. </w:t>
      </w:r>
      <w:r w:rsidR="00F1417A" w:rsidRPr="006730E3">
        <w:rPr>
          <w:rFonts w:ascii="Calibri" w:hAnsi="Calibri" w:cs="Times New Roman"/>
          <w:sz w:val="24"/>
          <w:szCs w:val="24"/>
        </w:rPr>
        <w:t>No obstante, podría parecer curioso que el legislador gallego</w:t>
      </w:r>
      <w:r w:rsidRPr="006730E3">
        <w:rPr>
          <w:rFonts w:ascii="Calibri" w:hAnsi="Calibri" w:cs="Times New Roman"/>
          <w:sz w:val="24"/>
          <w:szCs w:val="24"/>
        </w:rPr>
        <w:t xml:space="preserve">, en su intento de copiar el funcionamiento de los registros </w:t>
      </w:r>
      <w:r w:rsidR="009A315C" w:rsidRPr="006730E3">
        <w:rPr>
          <w:rFonts w:ascii="Calibri" w:hAnsi="Calibri" w:cs="Times New Roman"/>
          <w:sz w:val="24"/>
          <w:szCs w:val="24"/>
        </w:rPr>
        <w:t xml:space="preserve">con efectos </w:t>
      </w:r>
      <w:r w:rsidRPr="006730E3">
        <w:rPr>
          <w:rFonts w:ascii="Calibri" w:hAnsi="Calibri" w:cs="Times New Roman"/>
          <w:sz w:val="24"/>
          <w:szCs w:val="24"/>
        </w:rPr>
        <w:t xml:space="preserve">sustantivos, </w:t>
      </w:r>
      <w:r w:rsidR="00F1417A" w:rsidRPr="006730E3">
        <w:rPr>
          <w:rFonts w:ascii="Calibri" w:hAnsi="Calibri" w:cs="Times New Roman"/>
          <w:sz w:val="24"/>
          <w:szCs w:val="24"/>
        </w:rPr>
        <w:t xml:space="preserve">no prevea que en el RPHG debe constar en todo caso el régimen económico de la pareja, sea el legal o el pactado. </w:t>
      </w:r>
    </w:p>
    <w:p w:rsidR="00E83FB3" w:rsidRPr="006730E3" w:rsidRDefault="00F1417A"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efecto, en los modelos de formularios de inscripción anexos al Decreto de 2014, sólo se requiere que se señale si hay o no un pacto para </w:t>
      </w:r>
      <w:r w:rsidR="009A315C" w:rsidRPr="006730E3">
        <w:rPr>
          <w:rFonts w:ascii="Calibri" w:hAnsi="Calibri" w:cs="Times New Roman"/>
          <w:sz w:val="24"/>
          <w:szCs w:val="24"/>
        </w:rPr>
        <w:t>regular</w:t>
      </w:r>
      <w:r w:rsidRPr="006730E3">
        <w:rPr>
          <w:rFonts w:ascii="Calibri" w:hAnsi="Calibri" w:cs="Times New Roman"/>
          <w:sz w:val="24"/>
          <w:szCs w:val="24"/>
        </w:rPr>
        <w:t xml:space="preserve"> las relaciones patrimoniales de las partes y, en caso afirmativo, que se adjunte a la solicitud. Del mismo modo, el art. 13 del Decreto de 2007 regula las solicitudes de incorporación o modificación del pacto y sólo distingue dos casos: que se pretenda incorporar un pacto que no había sido presentado en el momento de la inscripción o modificar un pacto presentado anteriormente. </w:t>
      </w:r>
    </w:p>
    <w:p w:rsidR="0013259D" w:rsidRPr="006730E3" w:rsidRDefault="00DC524C"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rPr>
        <w:t>Con base en tales consideraciones, l</w:t>
      </w:r>
      <w:r w:rsidR="00F1417A" w:rsidRPr="006730E3">
        <w:rPr>
          <w:rFonts w:ascii="Calibri" w:hAnsi="Calibri" w:cs="Times New Roman"/>
          <w:sz w:val="24"/>
          <w:szCs w:val="24"/>
        </w:rPr>
        <w:t xml:space="preserve">os contrarios a la aplicación de la sociedad de gananciales a la pareja inscrita podrían </w:t>
      </w:r>
      <w:r w:rsidR="00C62014" w:rsidRPr="006730E3">
        <w:rPr>
          <w:rFonts w:ascii="Calibri" w:hAnsi="Calibri" w:cs="Times New Roman"/>
          <w:sz w:val="24"/>
          <w:szCs w:val="24"/>
        </w:rPr>
        <w:t>insistir en la defensa de</w:t>
      </w:r>
      <w:r w:rsidR="00EB2E81" w:rsidRPr="006730E3">
        <w:rPr>
          <w:rFonts w:ascii="Calibri" w:hAnsi="Calibri" w:cs="Times New Roman"/>
          <w:sz w:val="24"/>
          <w:szCs w:val="24"/>
        </w:rPr>
        <w:t xml:space="preserve"> su criterio</w:t>
      </w:r>
      <w:r w:rsidRPr="006730E3">
        <w:rPr>
          <w:rFonts w:ascii="Calibri" w:hAnsi="Calibri" w:cs="Times New Roman"/>
          <w:sz w:val="24"/>
          <w:szCs w:val="24"/>
        </w:rPr>
        <w:t xml:space="preserve"> pues, mientras el art. 60 LRC requiere que junto </w:t>
      </w:r>
      <w:r w:rsidRPr="006730E3">
        <w:rPr>
          <w:rFonts w:ascii="Calibri" w:hAnsi="Calibri" w:cs="Times New Roman"/>
          <w:sz w:val="24"/>
          <w:szCs w:val="24"/>
          <w:shd w:val="clear" w:color="auto" w:fill="FFFFFF"/>
        </w:rPr>
        <w:t>a la inscripción de matrimonio se inscriba el régimen económico matrimonial legal o pactado para que sea oponible a terceros de buena fe, el legislador gallego nada semejante prevé para el caso de la pareja de la DAT</w:t>
      </w:r>
      <w:r w:rsidR="00C62014" w:rsidRPr="006730E3">
        <w:rPr>
          <w:rFonts w:ascii="Calibri" w:hAnsi="Calibri" w:cs="Times New Roman"/>
          <w:sz w:val="24"/>
          <w:szCs w:val="24"/>
          <w:shd w:val="clear" w:color="auto" w:fill="FFFFFF"/>
        </w:rPr>
        <w:t xml:space="preserve"> </w:t>
      </w:r>
      <w:r w:rsidR="00230029" w:rsidRPr="006730E3">
        <w:rPr>
          <w:rFonts w:ascii="Calibri" w:hAnsi="Calibri" w:cs="Times New Roman"/>
          <w:sz w:val="24"/>
          <w:szCs w:val="24"/>
          <w:shd w:val="clear" w:color="auto" w:fill="FFFFFF"/>
        </w:rPr>
        <w:t xml:space="preserve">y el </w:t>
      </w:r>
      <w:r w:rsidR="00C62014" w:rsidRPr="006730E3">
        <w:rPr>
          <w:rFonts w:ascii="Calibri" w:hAnsi="Calibri" w:cs="Times New Roman"/>
          <w:sz w:val="24"/>
          <w:szCs w:val="24"/>
          <w:shd w:val="clear" w:color="auto" w:fill="FFFFFF"/>
        </w:rPr>
        <w:t>supuesto</w:t>
      </w:r>
      <w:r w:rsidR="00230029" w:rsidRPr="006730E3">
        <w:rPr>
          <w:rFonts w:ascii="Calibri" w:hAnsi="Calibri" w:cs="Times New Roman"/>
          <w:sz w:val="24"/>
          <w:szCs w:val="24"/>
          <w:shd w:val="clear" w:color="auto" w:fill="FFFFFF"/>
        </w:rPr>
        <w:t xml:space="preserve"> régimen</w:t>
      </w:r>
      <w:r w:rsidR="00C62014" w:rsidRPr="006730E3">
        <w:rPr>
          <w:rFonts w:ascii="Calibri" w:hAnsi="Calibri" w:cs="Times New Roman"/>
          <w:sz w:val="24"/>
          <w:szCs w:val="24"/>
          <w:shd w:val="clear" w:color="auto" w:fill="FFFFFF"/>
        </w:rPr>
        <w:t xml:space="preserve"> económico</w:t>
      </w:r>
      <w:r w:rsidR="00230029" w:rsidRPr="006730E3">
        <w:rPr>
          <w:rFonts w:ascii="Calibri" w:hAnsi="Calibri" w:cs="Times New Roman"/>
          <w:sz w:val="24"/>
          <w:szCs w:val="24"/>
          <w:shd w:val="clear" w:color="auto" w:fill="FFFFFF"/>
        </w:rPr>
        <w:t xml:space="preserve"> legal</w:t>
      </w:r>
      <w:r w:rsidRPr="006730E3">
        <w:rPr>
          <w:rFonts w:ascii="Calibri" w:hAnsi="Calibri" w:cs="Times New Roman"/>
          <w:sz w:val="24"/>
          <w:szCs w:val="24"/>
          <w:shd w:val="clear" w:color="auto" w:fill="FFFFFF"/>
        </w:rPr>
        <w:t xml:space="preserve">. Incluso quienes sí sostienen la aplicación de la sociedad de gananciales a la pareja inscrita, podrían concluir que, a falta de mención expresa de dicho régimen en el RPHG, el mismo sólo tendría eficacia </w:t>
      </w:r>
      <w:r w:rsidRPr="006730E3">
        <w:rPr>
          <w:rFonts w:ascii="Calibri" w:hAnsi="Calibri" w:cs="Times New Roman"/>
          <w:i/>
          <w:sz w:val="24"/>
          <w:szCs w:val="24"/>
          <w:shd w:val="clear" w:color="auto" w:fill="FFFFFF"/>
        </w:rPr>
        <w:t>inter partes</w:t>
      </w:r>
      <w:r w:rsidRPr="006730E3">
        <w:rPr>
          <w:rFonts w:ascii="Calibri" w:hAnsi="Calibri" w:cs="Times New Roman"/>
          <w:sz w:val="24"/>
          <w:szCs w:val="24"/>
          <w:shd w:val="clear" w:color="auto" w:fill="FFFFFF"/>
        </w:rPr>
        <w:t xml:space="preserve">, sin </w:t>
      </w:r>
      <w:r w:rsidR="00EB2E81" w:rsidRPr="006730E3">
        <w:rPr>
          <w:rFonts w:ascii="Calibri" w:hAnsi="Calibri" w:cs="Times New Roman"/>
          <w:sz w:val="24"/>
          <w:szCs w:val="24"/>
          <w:shd w:val="clear" w:color="auto" w:fill="FFFFFF"/>
        </w:rPr>
        <w:t>que cupiese</w:t>
      </w:r>
      <w:r w:rsidRPr="006730E3">
        <w:rPr>
          <w:rFonts w:ascii="Calibri" w:hAnsi="Calibri" w:cs="Times New Roman"/>
          <w:sz w:val="24"/>
          <w:szCs w:val="24"/>
          <w:shd w:val="clear" w:color="auto" w:fill="FFFFFF"/>
        </w:rPr>
        <w:t xml:space="preserve"> discusión alguna sobre su mayor, menor o nula eficacia respecto de terceros. </w:t>
      </w:r>
    </w:p>
    <w:p w:rsidR="00096504" w:rsidRPr="006730E3" w:rsidRDefault="00DC524C"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No obstante, en nuestra opinión, </w:t>
      </w:r>
      <w:r w:rsidR="0036016B" w:rsidRPr="006730E3">
        <w:rPr>
          <w:rFonts w:ascii="Calibri" w:hAnsi="Calibri" w:cs="Times New Roman"/>
          <w:sz w:val="24"/>
          <w:szCs w:val="24"/>
          <w:shd w:val="clear" w:color="auto" w:fill="FFFFFF"/>
        </w:rPr>
        <w:t>no se exige</w:t>
      </w:r>
      <w:r w:rsidRPr="006730E3">
        <w:rPr>
          <w:rFonts w:ascii="Calibri" w:hAnsi="Calibri" w:cs="Times New Roman"/>
          <w:sz w:val="24"/>
          <w:szCs w:val="24"/>
          <w:shd w:val="clear" w:color="auto" w:fill="FFFFFF"/>
        </w:rPr>
        <w:t xml:space="preserve"> la mención del régimen de sociedad de gananciales en el RPHG </w:t>
      </w:r>
      <w:r w:rsidR="0036016B" w:rsidRPr="006730E3">
        <w:rPr>
          <w:rFonts w:ascii="Calibri" w:hAnsi="Calibri" w:cs="Times New Roman"/>
          <w:sz w:val="24"/>
          <w:szCs w:val="24"/>
          <w:shd w:val="clear" w:color="auto" w:fill="FFFFFF"/>
        </w:rPr>
        <w:t>porque</w:t>
      </w:r>
      <w:r w:rsidRPr="006730E3">
        <w:rPr>
          <w:rFonts w:ascii="Calibri" w:hAnsi="Calibri" w:cs="Times New Roman"/>
          <w:sz w:val="24"/>
          <w:szCs w:val="24"/>
          <w:shd w:val="clear" w:color="auto" w:fill="FFFFFF"/>
        </w:rPr>
        <w:t xml:space="preserve"> </w:t>
      </w:r>
      <w:r w:rsidR="0013259D" w:rsidRPr="006730E3">
        <w:rPr>
          <w:rFonts w:ascii="Calibri" w:hAnsi="Calibri" w:cs="Times New Roman"/>
          <w:sz w:val="24"/>
          <w:szCs w:val="24"/>
          <w:shd w:val="clear" w:color="auto" w:fill="FFFFFF"/>
        </w:rPr>
        <w:t>el legislador gallego</w:t>
      </w:r>
      <w:r w:rsidR="004A7A93" w:rsidRPr="006730E3">
        <w:rPr>
          <w:rFonts w:ascii="Calibri" w:hAnsi="Calibri" w:cs="Times New Roman"/>
          <w:sz w:val="24"/>
          <w:szCs w:val="24"/>
          <w:shd w:val="clear" w:color="auto" w:fill="FFFFFF"/>
        </w:rPr>
        <w:t xml:space="preserve"> parece</w:t>
      </w:r>
      <w:r w:rsidR="0013259D" w:rsidRPr="006730E3">
        <w:rPr>
          <w:rFonts w:ascii="Calibri" w:hAnsi="Calibri" w:cs="Times New Roman"/>
          <w:sz w:val="24"/>
          <w:szCs w:val="24"/>
          <w:shd w:val="clear" w:color="auto" w:fill="FFFFFF"/>
        </w:rPr>
        <w:t xml:space="preserve"> a</w:t>
      </w:r>
      <w:r w:rsidR="004A7A93" w:rsidRPr="006730E3">
        <w:rPr>
          <w:rFonts w:ascii="Calibri" w:hAnsi="Calibri" w:cs="Times New Roman"/>
          <w:sz w:val="24"/>
          <w:szCs w:val="24"/>
          <w:shd w:val="clear" w:color="auto" w:fill="FFFFFF"/>
        </w:rPr>
        <w:t>sumir</w:t>
      </w:r>
      <w:r w:rsidR="0013259D" w:rsidRPr="006730E3">
        <w:rPr>
          <w:rFonts w:ascii="Calibri" w:hAnsi="Calibri" w:cs="Times New Roman"/>
          <w:sz w:val="24"/>
          <w:szCs w:val="24"/>
          <w:shd w:val="clear" w:color="auto" w:fill="FFFFFF"/>
        </w:rPr>
        <w:t xml:space="preserve"> que </w:t>
      </w:r>
      <w:r w:rsidRPr="006730E3">
        <w:rPr>
          <w:rFonts w:ascii="Calibri" w:hAnsi="Calibri" w:cs="Times New Roman"/>
          <w:sz w:val="24"/>
          <w:szCs w:val="24"/>
          <w:shd w:val="clear" w:color="auto" w:fill="FFFFFF"/>
        </w:rPr>
        <w:t>a la pareja inscrita</w:t>
      </w:r>
      <w:r w:rsidR="004A7A93" w:rsidRPr="006730E3">
        <w:rPr>
          <w:rFonts w:ascii="Calibri" w:hAnsi="Calibri" w:cs="Times New Roman"/>
          <w:sz w:val="24"/>
          <w:szCs w:val="24"/>
          <w:shd w:val="clear" w:color="auto" w:fill="FFFFFF"/>
        </w:rPr>
        <w:t xml:space="preserve"> se le aplicará en todo caso la ley gallega y, en consecuencia, la DAT</w:t>
      </w:r>
      <w:r w:rsidR="0036016B" w:rsidRPr="006730E3">
        <w:rPr>
          <w:rFonts w:ascii="Calibri" w:hAnsi="Calibri" w:cs="Times New Roman"/>
          <w:sz w:val="24"/>
          <w:szCs w:val="24"/>
          <w:shd w:val="clear" w:color="auto" w:fill="FFFFFF"/>
        </w:rPr>
        <w:t>,</w:t>
      </w:r>
      <w:r w:rsidR="004A7A93" w:rsidRPr="006730E3">
        <w:rPr>
          <w:rFonts w:ascii="Calibri" w:hAnsi="Calibri" w:cs="Times New Roman"/>
          <w:sz w:val="24"/>
          <w:szCs w:val="24"/>
          <w:shd w:val="clear" w:color="auto" w:fill="FFFFFF"/>
        </w:rPr>
        <w:t xml:space="preserve"> según la cual</w:t>
      </w:r>
      <w:r w:rsidR="0036016B" w:rsidRPr="006730E3">
        <w:rPr>
          <w:rFonts w:ascii="Calibri" w:hAnsi="Calibri" w:cs="Times New Roman"/>
          <w:sz w:val="24"/>
          <w:szCs w:val="24"/>
          <w:shd w:val="clear" w:color="auto" w:fill="FFFFFF"/>
        </w:rPr>
        <w:t xml:space="preserve"> opera</w:t>
      </w:r>
      <w:r w:rsidRPr="006730E3">
        <w:rPr>
          <w:rFonts w:ascii="Calibri" w:hAnsi="Calibri" w:cs="Times New Roman"/>
          <w:sz w:val="24"/>
          <w:szCs w:val="24"/>
          <w:shd w:val="clear" w:color="auto" w:fill="FFFFFF"/>
        </w:rPr>
        <w:t xml:space="preserve"> dicho régime</w:t>
      </w:r>
      <w:r w:rsidR="005C444A" w:rsidRPr="006730E3">
        <w:rPr>
          <w:rFonts w:ascii="Calibri" w:hAnsi="Calibri" w:cs="Times New Roman"/>
          <w:sz w:val="24"/>
          <w:szCs w:val="24"/>
          <w:shd w:val="clear" w:color="auto" w:fill="FFFFFF"/>
        </w:rPr>
        <w:t>n</w:t>
      </w:r>
      <w:r w:rsidR="0036016B" w:rsidRPr="006730E3">
        <w:rPr>
          <w:rFonts w:ascii="Calibri" w:hAnsi="Calibri" w:cs="Times New Roman"/>
          <w:sz w:val="24"/>
          <w:szCs w:val="24"/>
          <w:shd w:val="clear" w:color="auto" w:fill="FFFFFF"/>
        </w:rPr>
        <w:t xml:space="preserve"> salvo pacto</w:t>
      </w:r>
      <w:r w:rsidR="005C444A" w:rsidRPr="006730E3">
        <w:rPr>
          <w:rFonts w:ascii="Calibri" w:hAnsi="Calibri" w:cs="Times New Roman"/>
          <w:sz w:val="24"/>
          <w:szCs w:val="24"/>
          <w:shd w:val="clear" w:color="auto" w:fill="FFFFFF"/>
        </w:rPr>
        <w:t>.</w:t>
      </w:r>
      <w:r w:rsidR="004A7A93" w:rsidRPr="006730E3">
        <w:rPr>
          <w:rFonts w:ascii="Calibri" w:hAnsi="Calibri" w:cs="Times New Roman"/>
          <w:sz w:val="24"/>
          <w:szCs w:val="24"/>
          <w:shd w:val="clear" w:color="auto" w:fill="FFFFFF"/>
        </w:rPr>
        <w:t xml:space="preserve"> En el otro lado, se encontraría la situación del matrimonio en el que, </w:t>
      </w:r>
      <w:r w:rsidR="00C62014" w:rsidRPr="006730E3">
        <w:rPr>
          <w:rFonts w:ascii="Calibri" w:hAnsi="Calibri" w:cs="Times New Roman"/>
          <w:sz w:val="24"/>
          <w:szCs w:val="24"/>
          <w:shd w:val="clear" w:color="auto" w:fill="FFFFFF"/>
        </w:rPr>
        <w:t>ciñéndonos</w:t>
      </w:r>
      <w:r w:rsidR="00EB2E81" w:rsidRPr="006730E3">
        <w:rPr>
          <w:rFonts w:ascii="Calibri" w:hAnsi="Calibri" w:cs="Times New Roman"/>
          <w:sz w:val="24"/>
          <w:szCs w:val="24"/>
          <w:shd w:val="clear" w:color="auto" w:fill="FFFFFF"/>
        </w:rPr>
        <w:t xml:space="preserve"> a un </w:t>
      </w:r>
      <w:r w:rsidR="0036016B" w:rsidRPr="006730E3">
        <w:rPr>
          <w:rFonts w:ascii="Calibri" w:hAnsi="Calibri" w:cs="Times New Roman"/>
          <w:sz w:val="24"/>
          <w:szCs w:val="24"/>
          <w:shd w:val="clear" w:color="auto" w:fill="FFFFFF"/>
        </w:rPr>
        <w:t>supuesto</w:t>
      </w:r>
      <w:r w:rsidR="00EB2E81" w:rsidRPr="006730E3">
        <w:rPr>
          <w:rFonts w:ascii="Calibri" w:hAnsi="Calibri" w:cs="Times New Roman"/>
          <w:sz w:val="24"/>
          <w:szCs w:val="24"/>
          <w:shd w:val="clear" w:color="auto" w:fill="FFFFFF"/>
        </w:rPr>
        <w:t xml:space="preserve"> en que no exista</w:t>
      </w:r>
      <w:r w:rsidR="005C444A" w:rsidRPr="006730E3">
        <w:rPr>
          <w:rFonts w:ascii="Calibri" w:hAnsi="Calibri" w:cs="Times New Roman"/>
          <w:sz w:val="24"/>
          <w:szCs w:val="24"/>
          <w:shd w:val="clear" w:color="auto" w:fill="FFFFFF"/>
        </w:rPr>
        <w:t xml:space="preserve"> ningún elemento de internacionalidad, </w:t>
      </w:r>
      <w:r w:rsidR="00C62014" w:rsidRPr="006730E3">
        <w:rPr>
          <w:rFonts w:ascii="Calibri" w:hAnsi="Calibri" w:cs="Times New Roman"/>
          <w:sz w:val="24"/>
          <w:szCs w:val="24"/>
          <w:shd w:val="clear" w:color="auto" w:fill="FFFFFF"/>
        </w:rPr>
        <w:t xml:space="preserve">no se sabe con exactitud cuál es dicho régimen legal salvo que conste expresamente en el Registro </w:t>
      </w:r>
      <w:r w:rsidR="00C62014" w:rsidRPr="006730E3">
        <w:rPr>
          <w:rFonts w:ascii="Calibri" w:hAnsi="Calibri" w:cs="Times New Roman"/>
          <w:sz w:val="24"/>
          <w:szCs w:val="24"/>
          <w:shd w:val="clear" w:color="auto" w:fill="FFFFFF"/>
        </w:rPr>
        <w:lastRenderedPageBreak/>
        <w:t xml:space="preserve">Civil, </w:t>
      </w:r>
      <w:r w:rsidR="005C444A" w:rsidRPr="006730E3">
        <w:rPr>
          <w:rFonts w:ascii="Calibri" w:hAnsi="Calibri" w:cs="Times New Roman"/>
          <w:sz w:val="24"/>
          <w:szCs w:val="24"/>
          <w:shd w:val="clear" w:color="auto" w:fill="FFFFFF"/>
        </w:rPr>
        <w:t>dado que en España existen diversos Derechos civiles</w:t>
      </w:r>
      <w:r w:rsidR="001F67AA" w:rsidRPr="006730E3">
        <w:rPr>
          <w:rFonts w:ascii="Calibri" w:hAnsi="Calibri" w:cs="Times New Roman"/>
          <w:sz w:val="24"/>
          <w:szCs w:val="24"/>
          <w:shd w:val="clear" w:color="auto" w:fill="FFFFFF"/>
        </w:rPr>
        <w:t xml:space="preserve"> aplicables</w:t>
      </w:r>
      <w:r w:rsidR="005C444A" w:rsidRPr="006730E3">
        <w:rPr>
          <w:rFonts w:ascii="Calibri" w:hAnsi="Calibri" w:cs="Times New Roman"/>
          <w:sz w:val="24"/>
          <w:szCs w:val="24"/>
          <w:shd w:val="clear" w:color="auto" w:fill="FFFFFF"/>
        </w:rPr>
        <w:t xml:space="preserve"> cuyas previsiones sobre cuál es el régimen económico matrimonial supletorio de pr</w:t>
      </w:r>
      <w:r w:rsidR="00C62014" w:rsidRPr="006730E3">
        <w:rPr>
          <w:rFonts w:ascii="Calibri" w:hAnsi="Calibri" w:cs="Times New Roman"/>
          <w:sz w:val="24"/>
          <w:szCs w:val="24"/>
          <w:shd w:val="clear" w:color="auto" w:fill="FFFFFF"/>
        </w:rPr>
        <w:t>imer grado difieren</w:t>
      </w:r>
      <w:r w:rsidR="005C444A" w:rsidRPr="006730E3">
        <w:rPr>
          <w:rFonts w:ascii="Calibri" w:hAnsi="Calibri" w:cs="Times New Roman"/>
          <w:sz w:val="24"/>
          <w:szCs w:val="24"/>
          <w:shd w:val="clear" w:color="auto" w:fill="FFFFFF"/>
        </w:rPr>
        <w:t>.</w:t>
      </w:r>
      <w:r w:rsidR="0013259D" w:rsidRPr="006730E3">
        <w:rPr>
          <w:rFonts w:ascii="Calibri" w:hAnsi="Calibri" w:cs="Times New Roman"/>
          <w:sz w:val="24"/>
          <w:szCs w:val="24"/>
          <w:shd w:val="clear" w:color="auto" w:fill="FFFFFF"/>
        </w:rPr>
        <w:t xml:space="preserve"> </w:t>
      </w:r>
      <w:r w:rsidR="00AC0060" w:rsidRPr="006730E3">
        <w:rPr>
          <w:rFonts w:ascii="Calibri" w:hAnsi="Calibri" w:cs="Times New Roman"/>
          <w:sz w:val="24"/>
          <w:szCs w:val="24"/>
          <w:shd w:val="clear" w:color="auto" w:fill="FFFFFF"/>
        </w:rPr>
        <w:t>Por ello</w:t>
      </w:r>
      <w:r w:rsidR="00C62014" w:rsidRPr="006730E3">
        <w:rPr>
          <w:rFonts w:ascii="Calibri" w:hAnsi="Calibri" w:cs="Times New Roman"/>
          <w:sz w:val="24"/>
          <w:szCs w:val="24"/>
          <w:shd w:val="clear" w:color="auto" w:fill="FFFFFF"/>
        </w:rPr>
        <w:t>, la inscripción de la pareja</w:t>
      </w:r>
      <w:r w:rsidR="00EB2E81" w:rsidRPr="006730E3">
        <w:rPr>
          <w:rFonts w:ascii="Calibri" w:hAnsi="Calibri" w:cs="Times New Roman"/>
          <w:sz w:val="24"/>
          <w:szCs w:val="24"/>
          <w:shd w:val="clear" w:color="auto" w:fill="FFFFFF"/>
        </w:rPr>
        <w:t xml:space="preserve"> sin </w:t>
      </w:r>
      <w:r w:rsidR="00C62014" w:rsidRPr="006730E3">
        <w:rPr>
          <w:rFonts w:ascii="Calibri" w:hAnsi="Calibri" w:cs="Times New Roman"/>
          <w:sz w:val="24"/>
          <w:szCs w:val="24"/>
          <w:shd w:val="clear" w:color="auto" w:fill="FFFFFF"/>
        </w:rPr>
        <w:t>mención alguna sobre el</w:t>
      </w:r>
      <w:r w:rsidR="00002FBA" w:rsidRPr="006730E3">
        <w:rPr>
          <w:rFonts w:ascii="Calibri" w:hAnsi="Calibri" w:cs="Times New Roman"/>
          <w:sz w:val="24"/>
          <w:szCs w:val="24"/>
          <w:shd w:val="clear" w:color="auto" w:fill="FFFFFF"/>
        </w:rPr>
        <w:t xml:space="preserve"> </w:t>
      </w:r>
      <w:r w:rsidR="00EB2E81" w:rsidRPr="006730E3">
        <w:rPr>
          <w:rFonts w:ascii="Calibri" w:hAnsi="Calibri" w:cs="Times New Roman"/>
          <w:sz w:val="24"/>
          <w:szCs w:val="24"/>
          <w:shd w:val="clear" w:color="auto" w:fill="FFFFFF"/>
        </w:rPr>
        <w:t xml:space="preserve">régimen económico, </w:t>
      </w:r>
      <w:r w:rsidR="00C62014" w:rsidRPr="006730E3">
        <w:rPr>
          <w:rFonts w:ascii="Calibri" w:hAnsi="Calibri" w:cs="Times New Roman"/>
          <w:sz w:val="24"/>
          <w:szCs w:val="24"/>
          <w:shd w:val="clear" w:color="auto" w:fill="FFFFFF"/>
        </w:rPr>
        <w:t>sería</w:t>
      </w:r>
      <w:r w:rsidR="00EB2E81" w:rsidRPr="006730E3">
        <w:rPr>
          <w:rFonts w:ascii="Calibri" w:hAnsi="Calibri" w:cs="Times New Roman"/>
          <w:sz w:val="24"/>
          <w:szCs w:val="24"/>
          <w:shd w:val="clear" w:color="auto" w:fill="FFFFFF"/>
        </w:rPr>
        <w:t xml:space="preserve"> dato suficiente para</w:t>
      </w:r>
      <w:r w:rsidR="00C62014" w:rsidRPr="006730E3">
        <w:rPr>
          <w:rFonts w:ascii="Calibri" w:hAnsi="Calibri" w:cs="Times New Roman"/>
          <w:sz w:val="24"/>
          <w:szCs w:val="24"/>
          <w:shd w:val="clear" w:color="auto" w:fill="FFFFFF"/>
        </w:rPr>
        <w:t xml:space="preserve"> saber que, conforme a la LDCG, las relaciones patrimoniales de dicha pareja se rigen </w:t>
      </w:r>
      <w:r w:rsidR="004A7A93" w:rsidRPr="006730E3">
        <w:rPr>
          <w:rFonts w:ascii="Calibri" w:hAnsi="Calibri" w:cs="Times New Roman"/>
          <w:sz w:val="24"/>
          <w:szCs w:val="24"/>
          <w:shd w:val="clear" w:color="auto" w:fill="FFFFFF"/>
        </w:rPr>
        <w:t>por la sociedad de gananciales dado que el art. 5.g) del Decreto de 2007 exige, como uno de los requisitos necesarios para proceder a la inscripción de la pareja en el RPHG, que al menos uno de sus miembros tenga la vecindad civil gallega; criterio escogido como punto de conexión en el art. 4.1 LDCG</w:t>
      </w:r>
      <w:r w:rsidR="00507C7B" w:rsidRPr="006730E3">
        <w:rPr>
          <w:rFonts w:ascii="Calibri" w:hAnsi="Calibri" w:cs="Times New Roman"/>
          <w:sz w:val="24"/>
          <w:szCs w:val="24"/>
          <w:shd w:val="clear" w:color="auto" w:fill="FFFFFF"/>
        </w:rPr>
        <w:t xml:space="preserve"> para determinar la aplicación de la ley gallega. Pero esto es inexacto.</w:t>
      </w:r>
      <w:r w:rsidR="00082838" w:rsidRPr="006730E3">
        <w:rPr>
          <w:rFonts w:ascii="Calibri" w:hAnsi="Calibri" w:cs="Times New Roman"/>
          <w:sz w:val="24"/>
          <w:szCs w:val="24"/>
          <w:shd w:val="clear" w:color="auto" w:fill="FFFFFF"/>
        </w:rPr>
        <w:t xml:space="preserve"> Tal y como evidencia la declaración de inconstitucionalidad del art. 2.3 LN según el cual dicha ley se aplicaba a la pareja </w:t>
      </w:r>
      <w:r w:rsidR="00082838" w:rsidRPr="006730E3">
        <w:rPr>
          <w:rFonts w:ascii="Calibri" w:hAnsi="Calibri" w:cs="Times New Roman"/>
          <w:iCs/>
          <w:sz w:val="24"/>
          <w:szCs w:val="24"/>
          <w:shd w:val="clear" w:color="auto" w:fill="FFFFFF"/>
        </w:rPr>
        <w:t>«cuando, al menos, uno de sus miembros [tuviese] la vecindad civil Navarra»</w:t>
      </w:r>
      <w:r w:rsidR="00082838" w:rsidRPr="006730E3">
        <w:rPr>
          <w:rStyle w:val="Refdenotaalpie"/>
          <w:rFonts w:ascii="Calibri" w:hAnsi="Calibri" w:cs="Times New Roman"/>
          <w:iCs/>
          <w:sz w:val="24"/>
          <w:szCs w:val="24"/>
          <w:shd w:val="clear" w:color="auto" w:fill="FFFFFF"/>
        </w:rPr>
        <w:footnoteReference w:id="105"/>
      </w:r>
      <w:r w:rsidR="00082838" w:rsidRPr="006730E3">
        <w:rPr>
          <w:rFonts w:ascii="Calibri" w:hAnsi="Calibri" w:cs="Times New Roman"/>
          <w:iCs/>
          <w:sz w:val="24"/>
          <w:szCs w:val="24"/>
          <w:shd w:val="clear" w:color="auto" w:fill="FFFFFF"/>
        </w:rPr>
        <w:t>,</w:t>
      </w:r>
      <w:r w:rsidR="00082838" w:rsidRPr="006730E3">
        <w:rPr>
          <w:rFonts w:ascii="Calibri" w:hAnsi="Calibri" w:cs="Times New Roman"/>
          <w:sz w:val="24"/>
          <w:szCs w:val="24"/>
          <w:shd w:val="clear" w:color="auto" w:fill="FFFFFF"/>
        </w:rPr>
        <w:t xml:space="preserve"> e</w:t>
      </w:r>
      <w:r w:rsidR="00507C7B" w:rsidRPr="006730E3">
        <w:rPr>
          <w:rFonts w:ascii="Calibri" w:hAnsi="Calibri" w:cs="Times New Roman"/>
          <w:sz w:val="24"/>
          <w:szCs w:val="24"/>
          <w:shd w:val="clear" w:color="auto" w:fill="FFFFFF"/>
        </w:rPr>
        <w:t xml:space="preserve">n España han proliferado distintas normas autonómicas, de </w:t>
      </w:r>
      <w:r w:rsidR="0036016B" w:rsidRPr="006730E3">
        <w:rPr>
          <w:rFonts w:ascii="Calibri" w:hAnsi="Calibri" w:cs="Times New Roman"/>
          <w:sz w:val="24"/>
          <w:szCs w:val="24"/>
          <w:shd w:val="clear" w:color="auto" w:fill="FFFFFF"/>
        </w:rPr>
        <w:t xml:space="preserve">más que </w:t>
      </w:r>
      <w:r w:rsidR="00507C7B" w:rsidRPr="006730E3">
        <w:rPr>
          <w:rFonts w:ascii="Calibri" w:hAnsi="Calibri" w:cs="Times New Roman"/>
          <w:sz w:val="24"/>
          <w:szCs w:val="24"/>
          <w:shd w:val="clear" w:color="auto" w:fill="FFFFFF"/>
        </w:rPr>
        <w:t xml:space="preserve">dudosa constitucionalidad, que establecen distintos criterios de conexión para </w:t>
      </w:r>
      <w:r w:rsidR="00096504" w:rsidRPr="006730E3">
        <w:rPr>
          <w:rFonts w:ascii="Calibri" w:hAnsi="Calibri" w:cs="Times New Roman"/>
          <w:sz w:val="24"/>
          <w:szCs w:val="24"/>
          <w:shd w:val="clear" w:color="auto" w:fill="FFFFFF"/>
        </w:rPr>
        <w:t>delimitar</w:t>
      </w:r>
      <w:r w:rsidR="00507C7B" w:rsidRPr="006730E3">
        <w:rPr>
          <w:rFonts w:ascii="Calibri" w:hAnsi="Calibri" w:cs="Times New Roman"/>
          <w:sz w:val="24"/>
          <w:szCs w:val="24"/>
          <w:shd w:val="clear" w:color="auto" w:fill="FFFFFF"/>
        </w:rPr>
        <w:t xml:space="preserve"> su </w:t>
      </w:r>
      <w:r w:rsidR="00096504" w:rsidRPr="006730E3">
        <w:rPr>
          <w:rFonts w:ascii="Calibri" w:hAnsi="Calibri" w:cs="Times New Roman"/>
          <w:sz w:val="24"/>
          <w:szCs w:val="24"/>
          <w:shd w:val="clear" w:color="auto" w:fill="FFFFFF"/>
        </w:rPr>
        <w:t xml:space="preserve">ámbito de </w:t>
      </w:r>
      <w:r w:rsidR="00507C7B" w:rsidRPr="006730E3">
        <w:rPr>
          <w:rFonts w:ascii="Calibri" w:hAnsi="Calibri" w:cs="Times New Roman"/>
          <w:sz w:val="24"/>
          <w:szCs w:val="24"/>
          <w:shd w:val="clear" w:color="auto" w:fill="FFFFFF"/>
        </w:rPr>
        <w:t xml:space="preserve">aplicación, generando así problemas </w:t>
      </w:r>
      <w:r w:rsidR="00096504" w:rsidRPr="006730E3">
        <w:rPr>
          <w:rFonts w:ascii="Calibri" w:hAnsi="Calibri" w:cs="Times New Roman"/>
          <w:sz w:val="24"/>
          <w:szCs w:val="24"/>
          <w:shd w:val="clear" w:color="auto" w:fill="FFFFFF"/>
        </w:rPr>
        <w:t xml:space="preserve">de falta de uniformidad y </w:t>
      </w:r>
      <w:r w:rsidR="00507C7B" w:rsidRPr="006730E3">
        <w:rPr>
          <w:rFonts w:ascii="Calibri" w:hAnsi="Calibri" w:cs="Times New Roman"/>
          <w:sz w:val="24"/>
          <w:szCs w:val="24"/>
          <w:shd w:val="clear" w:color="auto" w:fill="FFFFFF"/>
        </w:rPr>
        <w:t>de superposiciones en los casos en que dos leyes se considerasen aplicables al mismo supuesto</w:t>
      </w:r>
      <w:r w:rsidR="00096504" w:rsidRPr="006730E3">
        <w:rPr>
          <w:rStyle w:val="Refdenotaalpie"/>
          <w:rFonts w:ascii="Calibri" w:hAnsi="Calibri" w:cs="Times New Roman"/>
          <w:sz w:val="24"/>
          <w:szCs w:val="24"/>
          <w:shd w:val="clear" w:color="auto" w:fill="FFFFFF"/>
        </w:rPr>
        <w:footnoteReference w:id="106"/>
      </w:r>
      <w:r w:rsidR="00507C7B" w:rsidRPr="006730E3">
        <w:rPr>
          <w:rFonts w:ascii="Calibri" w:hAnsi="Calibri" w:cs="Times New Roman"/>
          <w:sz w:val="24"/>
          <w:szCs w:val="24"/>
          <w:shd w:val="clear" w:color="auto" w:fill="FFFFFF"/>
        </w:rPr>
        <w:t>; situaci</w:t>
      </w:r>
      <w:r w:rsidR="00096504" w:rsidRPr="006730E3">
        <w:rPr>
          <w:rFonts w:ascii="Calibri" w:hAnsi="Calibri" w:cs="Times New Roman"/>
          <w:sz w:val="24"/>
          <w:szCs w:val="24"/>
          <w:shd w:val="clear" w:color="auto" w:fill="FFFFFF"/>
        </w:rPr>
        <w:t xml:space="preserve">ón de inseguridad jurídica por la que se acusa nuevamente al Estado de dejación de sus funciones al no legislar sobre conflicto de leyes ante la realidad </w:t>
      </w:r>
      <w:proofErr w:type="spellStart"/>
      <w:r w:rsidR="00096504" w:rsidRPr="006730E3">
        <w:rPr>
          <w:rFonts w:ascii="Calibri" w:hAnsi="Calibri" w:cs="Times New Roman"/>
          <w:sz w:val="24"/>
          <w:szCs w:val="24"/>
          <w:shd w:val="clear" w:color="auto" w:fill="FFFFFF"/>
        </w:rPr>
        <w:t>plurilegislativa</w:t>
      </w:r>
      <w:proofErr w:type="spellEnd"/>
      <w:r w:rsidR="00096504" w:rsidRPr="006730E3">
        <w:rPr>
          <w:rFonts w:ascii="Calibri" w:hAnsi="Calibri" w:cs="Times New Roman"/>
          <w:sz w:val="24"/>
          <w:szCs w:val="24"/>
          <w:shd w:val="clear" w:color="auto" w:fill="FFFFFF"/>
        </w:rPr>
        <w:t xml:space="preserve"> de las parejas no casadas</w:t>
      </w:r>
      <w:r w:rsidR="00096504" w:rsidRPr="006730E3">
        <w:rPr>
          <w:rStyle w:val="Refdenotaalpie"/>
          <w:rFonts w:ascii="Calibri" w:hAnsi="Calibri" w:cs="Times New Roman"/>
          <w:sz w:val="24"/>
          <w:szCs w:val="24"/>
          <w:shd w:val="clear" w:color="auto" w:fill="FFFFFF"/>
        </w:rPr>
        <w:footnoteReference w:id="107"/>
      </w:r>
      <w:r w:rsidR="00096504" w:rsidRPr="006730E3">
        <w:rPr>
          <w:rFonts w:ascii="Calibri" w:hAnsi="Calibri" w:cs="Times New Roman"/>
          <w:sz w:val="24"/>
          <w:szCs w:val="24"/>
          <w:shd w:val="clear" w:color="auto" w:fill="FFFFFF"/>
        </w:rPr>
        <w:t>.</w:t>
      </w:r>
    </w:p>
    <w:p w:rsidR="00EB2E81" w:rsidRPr="006730E3" w:rsidRDefault="00C62014"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Así las cosas, las explicaciones que haremos a continuación no </w:t>
      </w:r>
      <w:r w:rsidR="00FD4224" w:rsidRPr="006730E3">
        <w:rPr>
          <w:rFonts w:ascii="Calibri" w:hAnsi="Calibri" w:cs="Times New Roman"/>
          <w:sz w:val="24"/>
          <w:szCs w:val="24"/>
          <w:shd w:val="clear" w:color="auto" w:fill="FFFFFF"/>
        </w:rPr>
        <w:t>varían</w:t>
      </w:r>
      <w:r w:rsidRPr="006730E3">
        <w:rPr>
          <w:rFonts w:ascii="Calibri" w:hAnsi="Calibri" w:cs="Times New Roman"/>
          <w:sz w:val="24"/>
          <w:szCs w:val="24"/>
          <w:shd w:val="clear" w:color="auto" w:fill="FFFFFF"/>
        </w:rPr>
        <w:t xml:space="preserve"> según haya habido pacto o no sobre el régimen económico de la pareja.</w:t>
      </w:r>
    </w:p>
    <w:p w:rsidR="00AC0060" w:rsidRPr="006730E3" w:rsidRDefault="0035417A"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 xml:space="preserve">Como hemos </w:t>
      </w:r>
      <w:r w:rsidR="00B94B40" w:rsidRPr="006730E3">
        <w:rPr>
          <w:rFonts w:ascii="Calibri" w:hAnsi="Calibri" w:cs="Times New Roman"/>
          <w:sz w:val="24"/>
          <w:szCs w:val="24"/>
          <w:shd w:val="clear" w:color="auto" w:fill="FFFFFF"/>
        </w:rPr>
        <w:t>indicado</w:t>
      </w:r>
      <w:r w:rsidRPr="006730E3">
        <w:rPr>
          <w:rFonts w:ascii="Calibri" w:hAnsi="Calibri" w:cs="Times New Roman"/>
          <w:sz w:val="24"/>
          <w:szCs w:val="24"/>
          <w:shd w:val="clear" w:color="auto" w:fill="FFFFFF"/>
        </w:rPr>
        <w:t xml:space="preserve"> más arriba, la pareja inscrita puede establecer los pactos</w:t>
      </w:r>
      <w:r w:rsidR="00B94B40" w:rsidRPr="006730E3">
        <w:rPr>
          <w:rFonts w:ascii="Calibri" w:hAnsi="Calibri" w:cs="Times New Roman"/>
          <w:sz w:val="24"/>
          <w:szCs w:val="24"/>
          <w:shd w:val="clear" w:color="auto" w:fill="FFFFFF"/>
        </w:rPr>
        <w:t xml:space="preserve"> </w:t>
      </w:r>
      <w:r w:rsidRPr="006730E3">
        <w:rPr>
          <w:rFonts w:ascii="Calibri" w:hAnsi="Calibri" w:cs="Times New Roman"/>
          <w:sz w:val="24"/>
          <w:szCs w:val="24"/>
          <w:shd w:val="clear" w:color="auto" w:fill="FFFFFF"/>
        </w:rPr>
        <w:t>que estimen convenientes fuera del sistema de la DAT</w:t>
      </w:r>
      <w:r w:rsidR="00B94B40" w:rsidRPr="006730E3">
        <w:rPr>
          <w:rFonts w:ascii="Calibri" w:hAnsi="Calibri" w:cs="Times New Roman"/>
          <w:sz w:val="24"/>
          <w:szCs w:val="24"/>
          <w:shd w:val="clear" w:color="auto" w:fill="FFFFFF"/>
        </w:rPr>
        <w:t xml:space="preserve"> y</w:t>
      </w:r>
      <w:r w:rsidRPr="006730E3">
        <w:rPr>
          <w:rFonts w:ascii="Calibri" w:hAnsi="Calibri" w:cs="Times New Roman"/>
          <w:sz w:val="24"/>
          <w:szCs w:val="24"/>
          <w:shd w:val="clear" w:color="auto" w:fill="FFFFFF"/>
        </w:rPr>
        <w:t xml:space="preserve"> de conformidad con el art. 1255 CC</w:t>
      </w:r>
      <w:r w:rsidR="00B94B40" w:rsidRPr="006730E3">
        <w:rPr>
          <w:rFonts w:ascii="Calibri" w:hAnsi="Calibri" w:cs="Times New Roman"/>
          <w:sz w:val="24"/>
          <w:szCs w:val="24"/>
          <w:shd w:val="clear" w:color="auto" w:fill="FFFFFF"/>
        </w:rPr>
        <w:t>. Dichos acuerdos serán, en principio, únicamente vinculantes para las partes, como si de una sociedad interna se tratase, salvo que los desvelasen</w:t>
      </w:r>
      <w:r w:rsidR="00AC0060" w:rsidRPr="006730E3">
        <w:rPr>
          <w:rFonts w:ascii="Calibri" w:hAnsi="Calibri" w:cs="Times New Roman"/>
          <w:sz w:val="24"/>
          <w:szCs w:val="24"/>
          <w:shd w:val="clear" w:color="auto" w:fill="FFFFFF"/>
        </w:rPr>
        <w:t xml:space="preserve"> al</w:t>
      </w:r>
      <w:r w:rsidR="00B94B40" w:rsidRPr="006730E3">
        <w:rPr>
          <w:rFonts w:ascii="Calibri" w:hAnsi="Calibri" w:cs="Times New Roman"/>
          <w:sz w:val="24"/>
          <w:szCs w:val="24"/>
          <w:shd w:val="clear" w:color="auto" w:fill="FFFFFF"/>
        </w:rPr>
        <w:t xml:space="preserve"> tercero </w:t>
      </w:r>
      <w:r w:rsidR="00AC0060" w:rsidRPr="006730E3">
        <w:rPr>
          <w:rFonts w:ascii="Calibri" w:hAnsi="Calibri" w:cs="Times New Roman"/>
          <w:sz w:val="24"/>
          <w:szCs w:val="24"/>
          <w:shd w:val="clear" w:color="auto" w:fill="FFFFFF"/>
        </w:rPr>
        <w:t>con quien van a establecer relaciones económicas si así lo consideran necesario.</w:t>
      </w:r>
    </w:p>
    <w:p w:rsidR="00CC616F" w:rsidRPr="006730E3" w:rsidRDefault="00AC0060"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t>Por lo tanto</w:t>
      </w:r>
      <w:r w:rsidR="00B94B40" w:rsidRPr="006730E3">
        <w:rPr>
          <w:rFonts w:ascii="Calibri" w:hAnsi="Calibri" w:cs="Times New Roman"/>
          <w:sz w:val="24"/>
          <w:szCs w:val="24"/>
          <w:shd w:val="clear" w:color="auto" w:fill="FFFFFF"/>
        </w:rPr>
        <w:t xml:space="preserve">, </w:t>
      </w:r>
      <w:r w:rsidR="00D438E0" w:rsidRPr="006730E3">
        <w:rPr>
          <w:rFonts w:ascii="Calibri" w:hAnsi="Calibri" w:cs="Times New Roman"/>
          <w:sz w:val="24"/>
          <w:szCs w:val="24"/>
          <w:shd w:val="clear" w:color="auto" w:fill="FFFFFF"/>
        </w:rPr>
        <w:t xml:space="preserve">la duda sobre la eficacia frente a terceros del régimen económico de la pareja concierne precisamente al régimen legal o al pactado </w:t>
      </w:r>
      <w:r w:rsidR="00CC616F" w:rsidRPr="006730E3">
        <w:rPr>
          <w:rFonts w:ascii="Calibri" w:hAnsi="Calibri" w:cs="Times New Roman"/>
          <w:sz w:val="24"/>
          <w:szCs w:val="24"/>
          <w:shd w:val="clear" w:color="auto" w:fill="FFFFFF"/>
        </w:rPr>
        <w:t>que meramente figura en el RPHG pues, a</w:t>
      </w:r>
      <w:r w:rsidR="0016152C" w:rsidRPr="006730E3">
        <w:rPr>
          <w:rFonts w:ascii="Calibri" w:hAnsi="Calibri" w:cs="Times New Roman"/>
          <w:sz w:val="24"/>
          <w:szCs w:val="24"/>
          <w:shd w:val="clear" w:color="auto" w:fill="FFFFFF"/>
        </w:rPr>
        <w:t xml:space="preserve"> lo largo de este trabajo</w:t>
      </w:r>
      <w:r w:rsidR="00CC616F" w:rsidRPr="006730E3">
        <w:rPr>
          <w:rFonts w:ascii="Calibri" w:hAnsi="Calibri" w:cs="Times New Roman"/>
          <w:sz w:val="24"/>
          <w:szCs w:val="24"/>
          <w:shd w:val="clear" w:color="auto" w:fill="FFFFFF"/>
        </w:rPr>
        <w:t>,</w:t>
      </w:r>
      <w:r w:rsidR="0016152C" w:rsidRPr="006730E3">
        <w:rPr>
          <w:rFonts w:ascii="Calibri" w:hAnsi="Calibri" w:cs="Times New Roman"/>
          <w:sz w:val="24"/>
          <w:szCs w:val="24"/>
          <w:shd w:val="clear" w:color="auto" w:fill="FFFFFF"/>
        </w:rPr>
        <w:t xml:space="preserve"> hemos reiterado que el legislador gallego crea el RPHG con el ánimo de exteriorizar en el tráfico la existencia de la pareja y</w:t>
      </w:r>
      <w:r w:rsidR="00E06566" w:rsidRPr="006730E3">
        <w:rPr>
          <w:rFonts w:ascii="Calibri" w:hAnsi="Calibri" w:cs="Times New Roman"/>
          <w:sz w:val="24"/>
          <w:szCs w:val="24"/>
          <w:shd w:val="clear" w:color="auto" w:fill="FFFFFF"/>
        </w:rPr>
        <w:t>, en consecuencia, su</w:t>
      </w:r>
      <w:r w:rsidR="0016152C" w:rsidRPr="006730E3">
        <w:rPr>
          <w:rFonts w:ascii="Calibri" w:hAnsi="Calibri" w:cs="Times New Roman"/>
          <w:sz w:val="24"/>
          <w:szCs w:val="24"/>
          <w:shd w:val="clear" w:color="auto" w:fill="FFFFFF"/>
        </w:rPr>
        <w:t xml:space="preserve"> régimen patrimonial.</w:t>
      </w:r>
      <w:r w:rsidR="00E06566" w:rsidRPr="006730E3">
        <w:rPr>
          <w:rFonts w:ascii="Calibri" w:hAnsi="Calibri" w:cs="Times New Roman"/>
          <w:sz w:val="24"/>
          <w:szCs w:val="24"/>
          <w:shd w:val="clear" w:color="auto" w:fill="FFFFFF"/>
        </w:rPr>
        <w:t xml:space="preserve"> </w:t>
      </w:r>
    </w:p>
    <w:p w:rsidR="000F0C0F" w:rsidRPr="006730E3" w:rsidRDefault="00CC616F" w:rsidP="00416B3A">
      <w:pPr>
        <w:spacing w:line="312" w:lineRule="auto"/>
        <w:jc w:val="both"/>
        <w:rPr>
          <w:rFonts w:ascii="Calibri" w:hAnsi="Calibri" w:cs="Times New Roman"/>
          <w:sz w:val="24"/>
          <w:szCs w:val="24"/>
          <w:shd w:val="clear" w:color="auto" w:fill="FFFFFF"/>
        </w:rPr>
      </w:pPr>
      <w:r w:rsidRPr="006730E3">
        <w:rPr>
          <w:rFonts w:ascii="Calibri" w:hAnsi="Calibri" w:cs="Times New Roman"/>
          <w:sz w:val="24"/>
          <w:szCs w:val="24"/>
          <w:shd w:val="clear" w:color="auto" w:fill="FFFFFF"/>
        </w:rPr>
        <w:lastRenderedPageBreak/>
        <w:t xml:space="preserve">Todas las </w:t>
      </w:r>
      <w:r w:rsidR="0072515C" w:rsidRPr="006730E3">
        <w:rPr>
          <w:rFonts w:ascii="Calibri" w:hAnsi="Calibri" w:cs="Times New Roman"/>
          <w:sz w:val="24"/>
          <w:szCs w:val="24"/>
          <w:shd w:val="clear" w:color="auto" w:fill="FFFFFF"/>
        </w:rPr>
        <w:t>regulaciones autonómicas existentes sobre registros de parejas de hecho salvo la vasca</w:t>
      </w:r>
      <w:r w:rsidR="0072515C" w:rsidRPr="006730E3">
        <w:rPr>
          <w:rStyle w:val="Refdenotaalpie"/>
          <w:rFonts w:ascii="Calibri" w:hAnsi="Calibri" w:cs="Times New Roman"/>
          <w:sz w:val="24"/>
          <w:szCs w:val="24"/>
          <w:shd w:val="clear" w:color="auto" w:fill="FFFFFF"/>
        </w:rPr>
        <w:footnoteReference w:id="108"/>
      </w:r>
      <w:r w:rsidR="0072515C" w:rsidRPr="006730E3">
        <w:rPr>
          <w:rFonts w:ascii="Calibri" w:hAnsi="Calibri" w:cs="Times New Roman"/>
          <w:sz w:val="24"/>
          <w:szCs w:val="24"/>
          <w:shd w:val="clear" w:color="auto" w:fill="FFFFFF"/>
        </w:rPr>
        <w:t>, y con independencia de los efectos declarativos o constitutivos que comportan, establecen que el acceso a los datos del registro está restringido a los propios miembros de la pareja o a los órganos judiciales</w:t>
      </w:r>
      <w:r w:rsidR="0072515C" w:rsidRPr="006730E3">
        <w:rPr>
          <w:rStyle w:val="Refdenotaalpie"/>
          <w:rFonts w:ascii="Calibri" w:hAnsi="Calibri" w:cs="Times New Roman"/>
          <w:sz w:val="24"/>
          <w:szCs w:val="24"/>
          <w:shd w:val="clear" w:color="auto" w:fill="FFFFFF"/>
        </w:rPr>
        <w:footnoteReference w:id="109"/>
      </w:r>
      <w:r w:rsidR="0072515C" w:rsidRPr="006730E3">
        <w:rPr>
          <w:rFonts w:ascii="Calibri" w:hAnsi="Calibri" w:cs="Times New Roman"/>
          <w:sz w:val="24"/>
          <w:szCs w:val="24"/>
          <w:shd w:val="clear" w:color="auto" w:fill="FFFFFF"/>
        </w:rPr>
        <w:t>.</w:t>
      </w:r>
      <w:r w:rsidR="007A6225" w:rsidRPr="006730E3">
        <w:rPr>
          <w:rFonts w:ascii="Calibri" w:hAnsi="Calibri" w:cs="Times New Roman"/>
          <w:sz w:val="24"/>
          <w:szCs w:val="24"/>
          <w:shd w:val="clear" w:color="auto" w:fill="FFFFFF"/>
        </w:rPr>
        <w:t xml:space="preserve"> Sin embargo, </w:t>
      </w:r>
      <w:r w:rsidR="004178EB" w:rsidRPr="006730E3">
        <w:rPr>
          <w:rFonts w:ascii="Calibri" w:hAnsi="Calibri" w:cs="Times New Roman"/>
          <w:sz w:val="24"/>
          <w:szCs w:val="24"/>
          <w:shd w:val="clear" w:color="auto" w:fill="FFFFFF"/>
        </w:rPr>
        <w:t>el legislador gallego regula el acceso al mismo por terceros interesados.</w:t>
      </w:r>
    </w:p>
    <w:p w:rsidR="00082838" w:rsidRPr="003B725B" w:rsidRDefault="004178EB" w:rsidP="00416B3A">
      <w:pPr>
        <w:spacing w:line="312" w:lineRule="auto"/>
        <w:ind w:left="567"/>
        <w:jc w:val="both"/>
        <w:rPr>
          <w:rFonts w:ascii="Calibri" w:hAnsi="Calibri" w:cs="Times New Roman"/>
          <w:sz w:val="24"/>
          <w:szCs w:val="24"/>
        </w:rPr>
      </w:pPr>
      <w:r w:rsidRPr="003B725B">
        <w:rPr>
          <w:rFonts w:ascii="Calibri" w:hAnsi="Calibri" w:cs="Times New Roman"/>
          <w:sz w:val="24"/>
          <w:szCs w:val="24"/>
          <w:shd w:val="clear" w:color="auto" w:fill="FFFFFF"/>
        </w:rPr>
        <w:t xml:space="preserve">Según el art. 8 del Decreto de 2007, la publicidad del RPHG </w:t>
      </w:r>
      <w:r w:rsidR="00082838" w:rsidRPr="003B725B">
        <w:rPr>
          <w:rFonts w:ascii="Calibri" w:hAnsi="Calibri" w:cs="Times New Roman"/>
          <w:sz w:val="24"/>
          <w:szCs w:val="24"/>
        </w:rPr>
        <w:t>«quedará limitada a la</w:t>
      </w:r>
      <w:r w:rsidRPr="003B725B">
        <w:rPr>
          <w:rFonts w:ascii="Calibri" w:hAnsi="Calibri" w:cs="Times New Roman"/>
          <w:sz w:val="24"/>
          <w:szCs w:val="24"/>
        </w:rPr>
        <w:t xml:space="preserve"> expedición de </w:t>
      </w:r>
      <w:r w:rsidR="00082838" w:rsidRPr="003B725B">
        <w:rPr>
          <w:rFonts w:ascii="Calibri" w:hAnsi="Calibri" w:cs="Times New Roman"/>
          <w:sz w:val="24"/>
          <w:szCs w:val="24"/>
        </w:rPr>
        <w:t>certificaciones</w:t>
      </w:r>
      <w:r w:rsidRPr="003B725B">
        <w:rPr>
          <w:rFonts w:ascii="Calibri" w:hAnsi="Calibri" w:cs="Times New Roman"/>
          <w:sz w:val="24"/>
          <w:szCs w:val="24"/>
          <w:shd w:val="clear" w:color="auto" w:fill="FFFFFF"/>
        </w:rPr>
        <w:t xml:space="preserve"> </w:t>
      </w:r>
      <w:r w:rsidR="00082838" w:rsidRPr="003B725B">
        <w:rPr>
          <w:rFonts w:ascii="Calibri" w:hAnsi="Calibri" w:cs="Times New Roman"/>
          <w:sz w:val="24"/>
          <w:szCs w:val="24"/>
        </w:rPr>
        <w:t>de s</w:t>
      </w:r>
      <w:r w:rsidRPr="003B725B">
        <w:rPr>
          <w:rFonts w:ascii="Calibri" w:hAnsi="Calibri" w:cs="Times New Roman"/>
          <w:sz w:val="24"/>
          <w:szCs w:val="24"/>
        </w:rPr>
        <w:t>us as</w:t>
      </w:r>
      <w:r w:rsidR="00082838" w:rsidRPr="003B725B">
        <w:rPr>
          <w:rFonts w:ascii="Calibri" w:hAnsi="Calibri" w:cs="Times New Roman"/>
          <w:sz w:val="24"/>
          <w:szCs w:val="24"/>
        </w:rPr>
        <w:t>i</w:t>
      </w:r>
      <w:r w:rsidRPr="003B725B">
        <w:rPr>
          <w:rFonts w:ascii="Calibri" w:hAnsi="Calibri" w:cs="Times New Roman"/>
          <w:sz w:val="24"/>
          <w:szCs w:val="24"/>
        </w:rPr>
        <w:t xml:space="preserve">entos por instancia de </w:t>
      </w:r>
      <w:r w:rsidR="00082838" w:rsidRPr="003B725B">
        <w:rPr>
          <w:rFonts w:ascii="Calibri" w:hAnsi="Calibri" w:cs="Times New Roman"/>
          <w:sz w:val="24"/>
          <w:szCs w:val="24"/>
        </w:rPr>
        <w:t>cualquiera</w:t>
      </w:r>
      <w:r w:rsidRPr="003B725B">
        <w:rPr>
          <w:rFonts w:ascii="Calibri" w:hAnsi="Calibri" w:cs="Times New Roman"/>
          <w:sz w:val="24"/>
          <w:szCs w:val="24"/>
        </w:rPr>
        <w:t xml:space="preserve"> d</w:t>
      </w:r>
      <w:r w:rsidR="00082838" w:rsidRPr="003B725B">
        <w:rPr>
          <w:rFonts w:ascii="Calibri" w:hAnsi="Calibri" w:cs="Times New Roman"/>
          <w:sz w:val="24"/>
          <w:szCs w:val="24"/>
        </w:rPr>
        <w:t>e l</w:t>
      </w:r>
      <w:r w:rsidRPr="003B725B">
        <w:rPr>
          <w:rFonts w:ascii="Calibri" w:hAnsi="Calibri" w:cs="Times New Roman"/>
          <w:sz w:val="24"/>
          <w:szCs w:val="24"/>
        </w:rPr>
        <w:t>os</w:t>
      </w:r>
      <w:r w:rsidRPr="003B725B">
        <w:rPr>
          <w:rFonts w:ascii="Calibri" w:hAnsi="Calibri" w:cs="Times New Roman"/>
          <w:sz w:val="24"/>
          <w:szCs w:val="24"/>
          <w:shd w:val="clear" w:color="auto" w:fill="FFFFFF"/>
        </w:rPr>
        <w:t xml:space="preserve"> </w:t>
      </w:r>
      <w:r w:rsidR="00082838" w:rsidRPr="003B725B">
        <w:rPr>
          <w:rFonts w:ascii="Calibri" w:hAnsi="Calibri" w:cs="Times New Roman"/>
          <w:sz w:val="24"/>
          <w:szCs w:val="24"/>
        </w:rPr>
        <w:t>miembros</w:t>
      </w:r>
      <w:r w:rsidRPr="003B725B">
        <w:rPr>
          <w:rFonts w:ascii="Calibri" w:hAnsi="Calibri" w:cs="Times New Roman"/>
          <w:sz w:val="24"/>
          <w:szCs w:val="24"/>
        </w:rPr>
        <w:t xml:space="preserve"> d</w:t>
      </w:r>
      <w:r w:rsidR="00082838" w:rsidRPr="003B725B">
        <w:rPr>
          <w:rFonts w:ascii="Calibri" w:hAnsi="Calibri" w:cs="Times New Roman"/>
          <w:sz w:val="24"/>
          <w:szCs w:val="24"/>
        </w:rPr>
        <w:t>e l</w:t>
      </w:r>
      <w:r w:rsidRPr="003B725B">
        <w:rPr>
          <w:rFonts w:ascii="Calibri" w:hAnsi="Calibri" w:cs="Times New Roman"/>
          <w:sz w:val="24"/>
          <w:szCs w:val="24"/>
        </w:rPr>
        <w:t xml:space="preserve">a unión, de </w:t>
      </w:r>
      <w:r w:rsidR="00082838" w:rsidRPr="003B725B">
        <w:rPr>
          <w:rFonts w:ascii="Calibri" w:hAnsi="Calibri" w:cs="Times New Roman"/>
          <w:sz w:val="24"/>
          <w:szCs w:val="24"/>
        </w:rPr>
        <w:t>quien</w:t>
      </w:r>
      <w:r w:rsidRPr="003B725B">
        <w:rPr>
          <w:rFonts w:ascii="Calibri" w:hAnsi="Calibri" w:cs="Times New Roman"/>
          <w:sz w:val="24"/>
          <w:szCs w:val="24"/>
        </w:rPr>
        <w:t xml:space="preserve"> acredite un </w:t>
      </w:r>
      <w:r w:rsidR="00082838" w:rsidRPr="003B725B">
        <w:rPr>
          <w:rFonts w:ascii="Calibri" w:hAnsi="Calibri" w:cs="Times New Roman"/>
          <w:sz w:val="24"/>
          <w:szCs w:val="24"/>
        </w:rPr>
        <w:t>interés</w:t>
      </w:r>
      <w:r w:rsidRPr="003B725B">
        <w:rPr>
          <w:rFonts w:ascii="Calibri" w:hAnsi="Calibri" w:cs="Times New Roman"/>
          <w:sz w:val="24"/>
          <w:szCs w:val="24"/>
        </w:rPr>
        <w:t xml:space="preserve"> </w:t>
      </w:r>
      <w:r w:rsidR="00082838" w:rsidRPr="003B725B">
        <w:rPr>
          <w:rFonts w:ascii="Calibri" w:hAnsi="Calibri" w:cs="Times New Roman"/>
          <w:sz w:val="24"/>
          <w:szCs w:val="24"/>
        </w:rPr>
        <w:t>legítimo</w:t>
      </w:r>
      <w:r w:rsidRPr="003B725B">
        <w:rPr>
          <w:rFonts w:ascii="Calibri" w:hAnsi="Calibri" w:cs="Times New Roman"/>
          <w:sz w:val="24"/>
          <w:szCs w:val="24"/>
          <w:shd w:val="clear" w:color="auto" w:fill="FFFFFF"/>
        </w:rPr>
        <w:t xml:space="preserve"> </w:t>
      </w:r>
      <w:r w:rsidR="00082838" w:rsidRPr="003B725B">
        <w:rPr>
          <w:rFonts w:ascii="Calibri" w:hAnsi="Calibri" w:cs="Times New Roman"/>
          <w:sz w:val="24"/>
          <w:szCs w:val="24"/>
        </w:rPr>
        <w:t>o</w:t>
      </w:r>
      <w:r w:rsidRPr="003B725B">
        <w:rPr>
          <w:rFonts w:ascii="Calibri" w:hAnsi="Calibri" w:cs="Times New Roman"/>
          <w:sz w:val="24"/>
          <w:szCs w:val="24"/>
        </w:rPr>
        <w:t xml:space="preserve"> d</w:t>
      </w:r>
      <w:r w:rsidR="00082838" w:rsidRPr="003B725B">
        <w:rPr>
          <w:rFonts w:ascii="Calibri" w:hAnsi="Calibri" w:cs="Times New Roman"/>
          <w:sz w:val="24"/>
          <w:szCs w:val="24"/>
        </w:rPr>
        <w:t>e l</w:t>
      </w:r>
      <w:r w:rsidRPr="003B725B">
        <w:rPr>
          <w:rFonts w:ascii="Calibri" w:hAnsi="Calibri" w:cs="Times New Roman"/>
          <w:sz w:val="24"/>
          <w:szCs w:val="24"/>
        </w:rPr>
        <w:t xml:space="preserve">os órganos </w:t>
      </w:r>
      <w:r w:rsidR="00082838" w:rsidRPr="003B725B">
        <w:rPr>
          <w:rFonts w:ascii="Calibri" w:hAnsi="Calibri" w:cs="Times New Roman"/>
          <w:sz w:val="24"/>
          <w:szCs w:val="24"/>
        </w:rPr>
        <w:t>judiciales</w:t>
      </w:r>
      <w:r w:rsidRPr="003B725B">
        <w:rPr>
          <w:rFonts w:ascii="Calibri" w:hAnsi="Calibri" w:cs="Times New Roman"/>
          <w:sz w:val="24"/>
          <w:szCs w:val="24"/>
        </w:rPr>
        <w:t xml:space="preserve">, </w:t>
      </w:r>
      <w:r w:rsidR="00082838" w:rsidRPr="003B725B">
        <w:rPr>
          <w:rFonts w:ascii="Calibri" w:hAnsi="Calibri" w:cs="Times New Roman"/>
          <w:sz w:val="24"/>
          <w:szCs w:val="24"/>
        </w:rPr>
        <w:t>en los</w:t>
      </w:r>
      <w:r w:rsidRPr="003B725B">
        <w:rPr>
          <w:rFonts w:ascii="Calibri" w:hAnsi="Calibri" w:cs="Times New Roman"/>
          <w:sz w:val="24"/>
          <w:szCs w:val="24"/>
        </w:rPr>
        <w:t xml:space="preserve"> </w:t>
      </w:r>
      <w:r w:rsidR="00082838" w:rsidRPr="003B725B">
        <w:rPr>
          <w:rFonts w:ascii="Calibri" w:hAnsi="Calibri" w:cs="Times New Roman"/>
          <w:sz w:val="24"/>
          <w:szCs w:val="24"/>
        </w:rPr>
        <w:t>términos</w:t>
      </w:r>
      <w:r w:rsidRPr="003B725B">
        <w:rPr>
          <w:rFonts w:ascii="Calibri" w:hAnsi="Calibri" w:cs="Times New Roman"/>
          <w:sz w:val="24"/>
          <w:szCs w:val="24"/>
        </w:rPr>
        <w:t xml:space="preserve"> previstos</w:t>
      </w:r>
      <w:r w:rsidRPr="003B725B">
        <w:rPr>
          <w:rFonts w:ascii="Calibri" w:hAnsi="Calibri" w:cs="Times New Roman"/>
          <w:sz w:val="24"/>
          <w:szCs w:val="24"/>
          <w:shd w:val="clear" w:color="auto" w:fill="FFFFFF"/>
        </w:rPr>
        <w:t xml:space="preserve"> </w:t>
      </w:r>
      <w:r w:rsidRPr="003B725B">
        <w:rPr>
          <w:rFonts w:ascii="Calibri" w:hAnsi="Calibri" w:cs="Times New Roman"/>
          <w:sz w:val="24"/>
          <w:szCs w:val="24"/>
        </w:rPr>
        <w:t>po</w:t>
      </w:r>
      <w:r w:rsidR="00082838" w:rsidRPr="003B725B">
        <w:rPr>
          <w:rFonts w:ascii="Calibri" w:hAnsi="Calibri" w:cs="Times New Roman"/>
          <w:sz w:val="24"/>
          <w:szCs w:val="24"/>
        </w:rPr>
        <w:t xml:space="preserve">r </w:t>
      </w:r>
      <w:r w:rsidRPr="003B725B">
        <w:rPr>
          <w:rFonts w:ascii="Calibri" w:hAnsi="Calibri" w:cs="Times New Roman"/>
          <w:sz w:val="24"/>
          <w:szCs w:val="24"/>
        </w:rPr>
        <w:t xml:space="preserve">la </w:t>
      </w:r>
      <w:r w:rsidR="00082838" w:rsidRPr="003B725B">
        <w:rPr>
          <w:rFonts w:ascii="Calibri" w:hAnsi="Calibri" w:cs="Times New Roman"/>
          <w:sz w:val="24"/>
          <w:szCs w:val="24"/>
        </w:rPr>
        <w:t>legislación</w:t>
      </w:r>
      <w:r w:rsidRPr="003B725B">
        <w:rPr>
          <w:rFonts w:ascii="Calibri" w:hAnsi="Calibri" w:cs="Times New Roman"/>
          <w:sz w:val="24"/>
          <w:szCs w:val="24"/>
        </w:rPr>
        <w:t xml:space="preserve"> </w:t>
      </w:r>
      <w:r w:rsidR="00082838" w:rsidRPr="003B725B">
        <w:rPr>
          <w:rFonts w:ascii="Calibri" w:hAnsi="Calibri" w:cs="Times New Roman"/>
          <w:sz w:val="24"/>
          <w:szCs w:val="24"/>
        </w:rPr>
        <w:t>vigente</w:t>
      </w:r>
      <w:r w:rsidRPr="003B725B">
        <w:rPr>
          <w:rFonts w:ascii="Calibri" w:hAnsi="Calibri" w:cs="Times New Roman"/>
          <w:sz w:val="24"/>
          <w:szCs w:val="24"/>
        </w:rPr>
        <w:t xml:space="preserve"> en materia de protección de</w:t>
      </w:r>
      <w:r w:rsidRPr="003B725B">
        <w:rPr>
          <w:rFonts w:ascii="Calibri" w:hAnsi="Calibri" w:cs="Times New Roman"/>
          <w:sz w:val="24"/>
          <w:szCs w:val="24"/>
          <w:shd w:val="clear" w:color="auto" w:fill="FFFFFF"/>
        </w:rPr>
        <w:t xml:space="preserve"> </w:t>
      </w:r>
      <w:r w:rsidRPr="003B725B">
        <w:rPr>
          <w:rFonts w:ascii="Calibri" w:hAnsi="Calibri" w:cs="Times New Roman"/>
          <w:sz w:val="24"/>
          <w:szCs w:val="24"/>
        </w:rPr>
        <w:t xml:space="preserve">datos». </w:t>
      </w:r>
    </w:p>
    <w:p w:rsidR="00082838" w:rsidRPr="003B725B" w:rsidRDefault="000F0C0F" w:rsidP="00416B3A">
      <w:pPr>
        <w:spacing w:line="312" w:lineRule="auto"/>
        <w:ind w:left="567"/>
        <w:jc w:val="both"/>
        <w:rPr>
          <w:rFonts w:ascii="Calibri" w:hAnsi="Calibri" w:cs="Times New Roman"/>
          <w:sz w:val="24"/>
          <w:szCs w:val="24"/>
          <w:shd w:val="clear" w:color="auto" w:fill="FFFFFF"/>
        </w:rPr>
      </w:pPr>
      <w:r w:rsidRPr="003B725B">
        <w:rPr>
          <w:rFonts w:ascii="Calibri" w:hAnsi="Calibri" w:cs="Times New Roman"/>
          <w:sz w:val="24"/>
          <w:szCs w:val="24"/>
        </w:rPr>
        <w:t>Su art. 14 precisa que «</w:t>
      </w:r>
      <w:r w:rsidR="00082838" w:rsidRPr="003B725B">
        <w:rPr>
          <w:rFonts w:ascii="Calibri" w:hAnsi="Calibri" w:cs="Times New Roman"/>
          <w:sz w:val="24"/>
          <w:szCs w:val="24"/>
        </w:rPr>
        <w:t>cuando el solicitante se</w:t>
      </w:r>
      <w:r w:rsidRPr="003B725B">
        <w:rPr>
          <w:rFonts w:ascii="Calibri" w:hAnsi="Calibri" w:cs="Times New Roman"/>
          <w:sz w:val="24"/>
          <w:szCs w:val="24"/>
        </w:rPr>
        <w:t>a una</w:t>
      </w:r>
      <w:r w:rsidRPr="003B725B">
        <w:rPr>
          <w:rFonts w:ascii="Calibri" w:hAnsi="Calibri" w:cs="Times New Roman"/>
          <w:sz w:val="24"/>
          <w:szCs w:val="24"/>
          <w:shd w:val="clear" w:color="auto" w:fill="FFFFFF"/>
        </w:rPr>
        <w:t xml:space="preserve"> </w:t>
      </w:r>
      <w:r w:rsidRPr="003B725B">
        <w:rPr>
          <w:rFonts w:ascii="Calibri" w:hAnsi="Calibri" w:cs="Times New Roman"/>
          <w:sz w:val="24"/>
          <w:szCs w:val="24"/>
        </w:rPr>
        <w:t>perso</w:t>
      </w:r>
      <w:r w:rsidR="00082838" w:rsidRPr="003B725B">
        <w:rPr>
          <w:rFonts w:ascii="Calibri" w:hAnsi="Calibri" w:cs="Times New Roman"/>
          <w:sz w:val="24"/>
          <w:szCs w:val="24"/>
        </w:rPr>
        <w:t>n</w:t>
      </w:r>
      <w:r w:rsidRPr="003B725B">
        <w:rPr>
          <w:rFonts w:ascii="Calibri" w:hAnsi="Calibri" w:cs="Times New Roman"/>
          <w:sz w:val="24"/>
          <w:szCs w:val="24"/>
        </w:rPr>
        <w:t>a distinta d</w:t>
      </w:r>
      <w:r w:rsidR="00082838" w:rsidRPr="003B725B">
        <w:rPr>
          <w:rFonts w:ascii="Calibri" w:hAnsi="Calibri" w:cs="Times New Roman"/>
          <w:sz w:val="24"/>
          <w:szCs w:val="24"/>
        </w:rPr>
        <w:t>e alguno</w:t>
      </w:r>
      <w:r w:rsidRPr="003B725B">
        <w:rPr>
          <w:rFonts w:ascii="Calibri" w:hAnsi="Calibri" w:cs="Times New Roman"/>
          <w:sz w:val="24"/>
          <w:szCs w:val="24"/>
        </w:rPr>
        <w:t xml:space="preserve"> d</w:t>
      </w:r>
      <w:r w:rsidR="00082838" w:rsidRPr="003B725B">
        <w:rPr>
          <w:rFonts w:ascii="Calibri" w:hAnsi="Calibri" w:cs="Times New Roman"/>
          <w:sz w:val="24"/>
          <w:szCs w:val="24"/>
        </w:rPr>
        <w:t>e los do</w:t>
      </w:r>
      <w:r w:rsidRPr="003B725B">
        <w:rPr>
          <w:rFonts w:ascii="Calibri" w:hAnsi="Calibri" w:cs="Times New Roman"/>
          <w:sz w:val="24"/>
          <w:szCs w:val="24"/>
        </w:rPr>
        <w:t xml:space="preserve">s </w:t>
      </w:r>
      <w:r w:rsidR="00082838" w:rsidRPr="003B725B">
        <w:rPr>
          <w:rFonts w:ascii="Calibri" w:hAnsi="Calibri" w:cs="Times New Roman"/>
          <w:sz w:val="24"/>
          <w:szCs w:val="24"/>
        </w:rPr>
        <w:t>componentes</w:t>
      </w:r>
      <w:r w:rsidRPr="003B725B">
        <w:rPr>
          <w:rFonts w:ascii="Calibri" w:hAnsi="Calibri" w:cs="Times New Roman"/>
          <w:sz w:val="24"/>
          <w:szCs w:val="24"/>
        </w:rPr>
        <w:t xml:space="preserve"> d</w:t>
      </w:r>
      <w:r w:rsidR="00082838" w:rsidRPr="003B725B">
        <w:rPr>
          <w:rFonts w:ascii="Calibri" w:hAnsi="Calibri" w:cs="Times New Roman"/>
          <w:sz w:val="24"/>
          <w:szCs w:val="24"/>
        </w:rPr>
        <w:t>e la parej</w:t>
      </w:r>
      <w:r w:rsidRPr="003B725B">
        <w:rPr>
          <w:rFonts w:ascii="Calibri" w:hAnsi="Calibri" w:cs="Times New Roman"/>
          <w:sz w:val="24"/>
          <w:szCs w:val="24"/>
        </w:rPr>
        <w:t xml:space="preserve">a inscrita deberá indicar </w:t>
      </w:r>
      <w:r w:rsidR="00082838" w:rsidRPr="003B725B">
        <w:rPr>
          <w:rFonts w:ascii="Calibri" w:hAnsi="Calibri" w:cs="Times New Roman"/>
          <w:sz w:val="24"/>
          <w:szCs w:val="24"/>
        </w:rPr>
        <w:t>si es</w:t>
      </w:r>
      <w:r w:rsidRPr="003B725B">
        <w:rPr>
          <w:rFonts w:ascii="Calibri" w:hAnsi="Calibri" w:cs="Times New Roman"/>
          <w:sz w:val="24"/>
          <w:szCs w:val="24"/>
        </w:rPr>
        <w:t xml:space="preserve"> perso</w:t>
      </w:r>
      <w:r w:rsidR="00082838" w:rsidRPr="003B725B">
        <w:rPr>
          <w:rFonts w:ascii="Calibri" w:hAnsi="Calibri" w:cs="Times New Roman"/>
          <w:sz w:val="24"/>
          <w:szCs w:val="24"/>
        </w:rPr>
        <w:t>na con interés leg</w:t>
      </w:r>
      <w:r w:rsidRPr="003B725B">
        <w:rPr>
          <w:rFonts w:ascii="Calibri" w:hAnsi="Calibri" w:cs="Times New Roman"/>
          <w:sz w:val="24"/>
          <w:szCs w:val="24"/>
        </w:rPr>
        <w:t xml:space="preserve">ítimo, </w:t>
      </w:r>
      <w:r w:rsidR="00082838" w:rsidRPr="003B725B">
        <w:rPr>
          <w:rFonts w:ascii="Calibri" w:hAnsi="Calibri" w:cs="Times New Roman"/>
          <w:sz w:val="24"/>
          <w:szCs w:val="24"/>
        </w:rPr>
        <w:t>cuál</w:t>
      </w:r>
      <w:r w:rsidRPr="003B725B">
        <w:rPr>
          <w:rFonts w:ascii="Calibri" w:hAnsi="Calibri" w:cs="Times New Roman"/>
          <w:sz w:val="24"/>
          <w:szCs w:val="24"/>
        </w:rPr>
        <w:t xml:space="preserve"> </w:t>
      </w:r>
      <w:r w:rsidR="00082838" w:rsidRPr="003B725B">
        <w:rPr>
          <w:rFonts w:ascii="Calibri" w:hAnsi="Calibri" w:cs="Times New Roman"/>
          <w:sz w:val="24"/>
          <w:szCs w:val="24"/>
        </w:rPr>
        <w:t>es su interés y acreditarlo documentalmente</w:t>
      </w:r>
      <w:r w:rsidRPr="003B725B">
        <w:rPr>
          <w:rFonts w:ascii="Calibri" w:hAnsi="Calibri" w:cs="Times New Roman"/>
          <w:sz w:val="24"/>
          <w:szCs w:val="24"/>
        </w:rPr>
        <w:t>»</w:t>
      </w:r>
      <w:r w:rsidR="00082838" w:rsidRPr="003B725B">
        <w:rPr>
          <w:rFonts w:ascii="Calibri" w:hAnsi="Calibri" w:cs="Times New Roman"/>
          <w:sz w:val="24"/>
          <w:szCs w:val="24"/>
        </w:rPr>
        <w:t>.</w:t>
      </w:r>
      <w:r w:rsidRPr="003B725B">
        <w:rPr>
          <w:rFonts w:ascii="Calibri" w:hAnsi="Calibri" w:cs="Times New Roman"/>
          <w:sz w:val="24"/>
          <w:szCs w:val="24"/>
          <w:shd w:val="clear" w:color="auto" w:fill="FFFFFF"/>
        </w:rPr>
        <w:t xml:space="preserve"> </w:t>
      </w:r>
    </w:p>
    <w:p w:rsidR="000327D9" w:rsidRPr="003B725B" w:rsidRDefault="004178EB" w:rsidP="00416B3A">
      <w:pPr>
        <w:spacing w:line="312" w:lineRule="auto"/>
        <w:ind w:left="567"/>
        <w:jc w:val="both"/>
        <w:rPr>
          <w:rFonts w:ascii="Calibri" w:hAnsi="Calibri" w:cs="Times New Roman"/>
          <w:sz w:val="24"/>
          <w:szCs w:val="24"/>
        </w:rPr>
      </w:pPr>
      <w:r w:rsidRPr="003B725B">
        <w:rPr>
          <w:rFonts w:ascii="Calibri" w:hAnsi="Calibri" w:cs="Times New Roman"/>
          <w:sz w:val="24"/>
          <w:szCs w:val="24"/>
        </w:rPr>
        <w:t>Del mismo modo, y con especial interés para este estudio, su art. 25.5 dispone que «</w:t>
      </w:r>
      <w:r w:rsidR="000327D9" w:rsidRPr="003B725B">
        <w:rPr>
          <w:rFonts w:ascii="Calibri" w:hAnsi="Calibri" w:cs="Times New Roman"/>
          <w:sz w:val="24"/>
          <w:szCs w:val="24"/>
        </w:rPr>
        <w:t>l</w:t>
      </w:r>
      <w:r w:rsidRPr="003B725B">
        <w:rPr>
          <w:rFonts w:ascii="Calibri" w:hAnsi="Calibri" w:cs="Times New Roman"/>
          <w:sz w:val="24"/>
          <w:szCs w:val="24"/>
        </w:rPr>
        <w:t xml:space="preserve">as </w:t>
      </w:r>
      <w:r w:rsidR="000327D9" w:rsidRPr="003B725B">
        <w:rPr>
          <w:rFonts w:ascii="Calibri" w:hAnsi="Calibri" w:cs="Times New Roman"/>
          <w:sz w:val="24"/>
          <w:szCs w:val="24"/>
        </w:rPr>
        <w:t>certificaciones</w:t>
      </w:r>
      <w:r w:rsidRPr="003B725B">
        <w:rPr>
          <w:rFonts w:ascii="Calibri" w:hAnsi="Calibri" w:cs="Times New Roman"/>
          <w:sz w:val="24"/>
          <w:szCs w:val="24"/>
        </w:rPr>
        <w:t xml:space="preserve"> referidas a</w:t>
      </w:r>
      <w:r w:rsidR="000327D9" w:rsidRPr="003B725B">
        <w:rPr>
          <w:rFonts w:ascii="Calibri" w:hAnsi="Calibri" w:cs="Times New Roman"/>
          <w:sz w:val="24"/>
          <w:szCs w:val="24"/>
        </w:rPr>
        <w:t xml:space="preserve"> l</w:t>
      </w:r>
      <w:r w:rsidRPr="003B725B">
        <w:rPr>
          <w:rFonts w:ascii="Calibri" w:hAnsi="Calibri" w:cs="Times New Roman"/>
          <w:sz w:val="24"/>
          <w:szCs w:val="24"/>
        </w:rPr>
        <w:t xml:space="preserve">os pactos </w:t>
      </w:r>
      <w:r w:rsidR="000327D9" w:rsidRPr="003B725B">
        <w:rPr>
          <w:rFonts w:ascii="Calibri" w:hAnsi="Calibri" w:cs="Times New Roman"/>
          <w:sz w:val="24"/>
          <w:szCs w:val="24"/>
        </w:rPr>
        <w:t>podrán</w:t>
      </w:r>
      <w:r w:rsidRPr="003B725B">
        <w:rPr>
          <w:rFonts w:ascii="Calibri" w:hAnsi="Calibri" w:cs="Times New Roman"/>
          <w:sz w:val="24"/>
          <w:szCs w:val="24"/>
        </w:rPr>
        <w:t xml:space="preserve"> indicar </w:t>
      </w:r>
      <w:r w:rsidR="000327D9" w:rsidRPr="003B725B">
        <w:rPr>
          <w:rFonts w:ascii="Calibri" w:hAnsi="Calibri" w:cs="Times New Roman"/>
          <w:sz w:val="24"/>
          <w:szCs w:val="24"/>
        </w:rPr>
        <w:t>l</w:t>
      </w:r>
      <w:r w:rsidRPr="003B725B">
        <w:rPr>
          <w:rFonts w:ascii="Calibri" w:hAnsi="Calibri" w:cs="Times New Roman"/>
          <w:sz w:val="24"/>
          <w:szCs w:val="24"/>
        </w:rPr>
        <w:t xml:space="preserve">a existencia </w:t>
      </w:r>
      <w:r w:rsidR="000327D9" w:rsidRPr="003B725B">
        <w:rPr>
          <w:rFonts w:ascii="Calibri" w:hAnsi="Calibri" w:cs="Times New Roman"/>
          <w:sz w:val="24"/>
          <w:szCs w:val="24"/>
        </w:rPr>
        <w:t>o</w:t>
      </w:r>
      <w:r w:rsidRPr="003B725B">
        <w:rPr>
          <w:rFonts w:ascii="Calibri" w:hAnsi="Calibri" w:cs="Times New Roman"/>
          <w:sz w:val="24"/>
          <w:szCs w:val="24"/>
        </w:rPr>
        <w:t xml:space="preserve"> </w:t>
      </w:r>
      <w:r w:rsidR="000327D9" w:rsidRPr="003B725B">
        <w:rPr>
          <w:rFonts w:ascii="Calibri" w:hAnsi="Calibri" w:cs="Times New Roman"/>
          <w:sz w:val="24"/>
          <w:szCs w:val="24"/>
        </w:rPr>
        <w:t>l</w:t>
      </w:r>
      <w:r w:rsidRPr="003B725B">
        <w:rPr>
          <w:rFonts w:ascii="Calibri" w:hAnsi="Calibri" w:cs="Times New Roman"/>
          <w:sz w:val="24"/>
          <w:szCs w:val="24"/>
        </w:rPr>
        <w:t xml:space="preserve">a ausencia de pacto, </w:t>
      </w:r>
      <w:r w:rsidR="000327D9" w:rsidRPr="003B725B">
        <w:rPr>
          <w:rFonts w:ascii="Calibri" w:hAnsi="Calibri" w:cs="Times New Roman"/>
          <w:sz w:val="24"/>
          <w:szCs w:val="24"/>
        </w:rPr>
        <w:t>l</w:t>
      </w:r>
      <w:r w:rsidRPr="003B725B">
        <w:rPr>
          <w:rFonts w:ascii="Calibri" w:hAnsi="Calibri" w:cs="Times New Roman"/>
          <w:sz w:val="24"/>
          <w:szCs w:val="24"/>
        </w:rPr>
        <w:t xml:space="preserve">a </w:t>
      </w:r>
      <w:r w:rsidR="000327D9" w:rsidRPr="003B725B">
        <w:rPr>
          <w:rFonts w:ascii="Calibri" w:hAnsi="Calibri" w:cs="Times New Roman"/>
          <w:sz w:val="24"/>
          <w:szCs w:val="24"/>
        </w:rPr>
        <w:t>fecha del</w:t>
      </w:r>
      <w:r w:rsidRPr="003B725B">
        <w:rPr>
          <w:rFonts w:ascii="Calibri" w:hAnsi="Calibri" w:cs="Times New Roman"/>
          <w:sz w:val="24"/>
          <w:szCs w:val="24"/>
        </w:rPr>
        <w:t xml:space="preserve"> último pacto </w:t>
      </w:r>
      <w:r w:rsidR="000327D9" w:rsidRPr="003B725B">
        <w:rPr>
          <w:rFonts w:ascii="Calibri" w:hAnsi="Calibri" w:cs="Times New Roman"/>
          <w:sz w:val="24"/>
          <w:szCs w:val="24"/>
        </w:rPr>
        <w:t>válidamente</w:t>
      </w:r>
      <w:r w:rsidRPr="003B725B">
        <w:rPr>
          <w:rFonts w:ascii="Calibri" w:hAnsi="Calibri" w:cs="Times New Roman"/>
          <w:sz w:val="24"/>
          <w:szCs w:val="24"/>
        </w:rPr>
        <w:t xml:space="preserve"> incorporado, </w:t>
      </w:r>
      <w:r w:rsidR="000327D9" w:rsidRPr="003B725B">
        <w:rPr>
          <w:rFonts w:ascii="Calibri" w:hAnsi="Calibri" w:cs="Times New Roman"/>
          <w:sz w:val="24"/>
          <w:szCs w:val="24"/>
        </w:rPr>
        <w:t>y</w:t>
      </w:r>
      <w:r w:rsidRPr="003B725B">
        <w:rPr>
          <w:rFonts w:ascii="Calibri" w:hAnsi="Calibri" w:cs="Times New Roman"/>
          <w:sz w:val="24"/>
          <w:szCs w:val="24"/>
        </w:rPr>
        <w:t xml:space="preserve"> </w:t>
      </w:r>
      <w:r w:rsidR="000327D9" w:rsidRPr="003B725B">
        <w:rPr>
          <w:rFonts w:ascii="Calibri" w:hAnsi="Calibri" w:cs="Times New Roman"/>
          <w:sz w:val="24"/>
          <w:szCs w:val="24"/>
        </w:rPr>
        <w:t>l</w:t>
      </w:r>
      <w:r w:rsidRPr="003B725B">
        <w:rPr>
          <w:rFonts w:ascii="Calibri" w:hAnsi="Calibri" w:cs="Times New Roman"/>
          <w:sz w:val="24"/>
          <w:szCs w:val="24"/>
        </w:rPr>
        <w:t>a ind</w:t>
      </w:r>
      <w:r w:rsidR="000327D9" w:rsidRPr="003B725B">
        <w:rPr>
          <w:rFonts w:ascii="Calibri" w:hAnsi="Calibri" w:cs="Times New Roman"/>
          <w:sz w:val="24"/>
          <w:szCs w:val="24"/>
        </w:rPr>
        <w:t>icación del</w:t>
      </w:r>
      <w:r w:rsidRPr="003B725B">
        <w:rPr>
          <w:rFonts w:ascii="Calibri" w:hAnsi="Calibri" w:cs="Times New Roman"/>
          <w:sz w:val="24"/>
          <w:szCs w:val="24"/>
        </w:rPr>
        <w:t xml:space="preserve"> tipo de </w:t>
      </w:r>
      <w:r w:rsidR="000327D9" w:rsidRPr="003B725B">
        <w:rPr>
          <w:rFonts w:ascii="Calibri" w:hAnsi="Calibri" w:cs="Times New Roman"/>
          <w:sz w:val="24"/>
          <w:szCs w:val="24"/>
        </w:rPr>
        <w:t>régimen</w:t>
      </w:r>
      <w:r w:rsidRPr="003B725B">
        <w:rPr>
          <w:rFonts w:ascii="Calibri" w:hAnsi="Calibri" w:cs="Times New Roman"/>
          <w:sz w:val="24"/>
          <w:szCs w:val="24"/>
        </w:rPr>
        <w:t xml:space="preserve"> económico patrimonial a</w:t>
      </w:r>
      <w:r w:rsidR="000327D9" w:rsidRPr="003B725B">
        <w:rPr>
          <w:rFonts w:ascii="Calibri" w:hAnsi="Calibri" w:cs="Times New Roman"/>
          <w:sz w:val="24"/>
          <w:szCs w:val="24"/>
        </w:rPr>
        <w:t>l que se</w:t>
      </w:r>
      <w:r w:rsidRPr="003B725B">
        <w:rPr>
          <w:rFonts w:ascii="Calibri" w:hAnsi="Calibri" w:cs="Times New Roman"/>
          <w:sz w:val="24"/>
          <w:szCs w:val="24"/>
        </w:rPr>
        <w:t xml:space="preserve"> </w:t>
      </w:r>
      <w:r w:rsidR="000327D9" w:rsidRPr="003B725B">
        <w:rPr>
          <w:rFonts w:ascii="Calibri" w:hAnsi="Calibri" w:cs="Times New Roman"/>
          <w:sz w:val="24"/>
          <w:szCs w:val="24"/>
        </w:rPr>
        <w:t>hubiese</w:t>
      </w:r>
      <w:r w:rsidRPr="003B725B">
        <w:rPr>
          <w:rFonts w:ascii="Calibri" w:hAnsi="Calibri" w:cs="Times New Roman"/>
          <w:sz w:val="24"/>
          <w:szCs w:val="24"/>
        </w:rPr>
        <w:t xml:space="preserve"> </w:t>
      </w:r>
      <w:r w:rsidR="000327D9" w:rsidRPr="003B725B">
        <w:rPr>
          <w:rFonts w:ascii="Calibri" w:hAnsi="Calibri" w:cs="Times New Roman"/>
          <w:sz w:val="24"/>
          <w:szCs w:val="24"/>
        </w:rPr>
        <w:t>acogido</w:t>
      </w:r>
      <w:r w:rsidRPr="003B725B">
        <w:rPr>
          <w:rFonts w:ascii="Calibri" w:hAnsi="Calibri" w:cs="Times New Roman"/>
          <w:sz w:val="24"/>
          <w:szCs w:val="24"/>
        </w:rPr>
        <w:t xml:space="preserve"> </w:t>
      </w:r>
      <w:r w:rsidR="000327D9" w:rsidRPr="003B725B">
        <w:rPr>
          <w:rFonts w:ascii="Calibri" w:hAnsi="Calibri" w:cs="Times New Roman"/>
          <w:sz w:val="24"/>
          <w:szCs w:val="24"/>
        </w:rPr>
        <w:t>la parej</w:t>
      </w:r>
      <w:r w:rsidRPr="003B725B">
        <w:rPr>
          <w:rFonts w:ascii="Calibri" w:hAnsi="Calibri" w:cs="Times New Roman"/>
          <w:sz w:val="24"/>
          <w:szCs w:val="24"/>
        </w:rPr>
        <w:t>a. C</w:t>
      </w:r>
      <w:r w:rsidR="000327D9" w:rsidRPr="003B725B">
        <w:rPr>
          <w:rFonts w:ascii="Calibri" w:hAnsi="Calibri" w:cs="Times New Roman"/>
          <w:sz w:val="24"/>
          <w:szCs w:val="24"/>
        </w:rPr>
        <w:t>u</w:t>
      </w:r>
      <w:r w:rsidRPr="003B725B">
        <w:rPr>
          <w:rFonts w:ascii="Calibri" w:hAnsi="Calibri" w:cs="Times New Roman"/>
          <w:sz w:val="24"/>
          <w:szCs w:val="24"/>
        </w:rPr>
        <w:t xml:space="preserve">ando </w:t>
      </w:r>
      <w:r w:rsidR="000327D9" w:rsidRPr="003B725B">
        <w:rPr>
          <w:rFonts w:ascii="Calibri" w:hAnsi="Calibri" w:cs="Times New Roman"/>
          <w:sz w:val="24"/>
          <w:szCs w:val="24"/>
        </w:rPr>
        <w:t>l</w:t>
      </w:r>
      <w:r w:rsidRPr="003B725B">
        <w:rPr>
          <w:rFonts w:ascii="Calibri" w:hAnsi="Calibri" w:cs="Times New Roman"/>
          <w:sz w:val="24"/>
          <w:szCs w:val="24"/>
        </w:rPr>
        <w:t xml:space="preserve">a </w:t>
      </w:r>
      <w:r w:rsidR="000327D9" w:rsidRPr="003B725B">
        <w:rPr>
          <w:rFonts w:ascii="Calibri" w:hAnsi="Calibri" w:cs="Times New Roman"/>
          <w:sz w:val="24"/>
          <w:szCs w:val="24"/>
        </w:rPr>
        <w:t>solicitud versase sobre alguno de los extremos o</w:t>
      </w:r>
      <w:r w:rsidRPr="003B725B">
        <w:rPr>
          <w:rFonts w:ascii="Calibri" w:hAnsi="Calibri" w:cs="Times New Roman"/>
          <w:sz w:val="24"/>
          <w:szCs w:val="24"/>
        </w:rPr>
        <w:t xml:space="preserve"> </w:t>
      </w:r>
      <w:r w:rsidR="000327D9" w:rsidRPr="003B725B">
        <w:rPr>
          <w:rFonts w:ascii="Calibri" w:hAnsi="Calibri" w:cs="Times New Roman"/>
          <w:sz w:val="24"/>
          <w:szCs w:val="24"/>
        </w:rPr>
        <w:t>estipulaciones</w:t>
      </w:r>
      <w:r w:rsidRPr="003B725B">
        <w:rPr>
          <w:rFonts w:ascii="Calibri" w:hAnsi="Calibri" w:cs="Times New Roman"/>
          <w:sz w:val="24"/>
          <w:szCs w:val="24"/>
        </w:rPr>
        <w:t xml:space="preserve"> cont</w:t>
      </w:r>
      <w:r w:rsidR="000327D9" w:rsidRPr="003B725B">
        <w:rPr>
          <w:rFonts w:ascii="Calibri" w:hAnsi="Calibri" w:cs="Times New Roman"/>
          <w:sz w:val="24"/>
          <w:szCs w:val="24"/>
        </w:rPr>
        <w:t>en</w:t>
      </w:r>
      <w:r w:rsidRPr="003B725B">
        <w:rPr>
          <w:rFonts w:ascii="Calibri" w:hAnsi="Calibri" w:cs="Times New Roman"/>
          <w:sz w:val="24"/>
          <w:szCs w:val="24"/>
        </w:rPr>
        <w:t xml:space="preserve">idas </w:t>
      </w:r>
      <w:r w:rsidR="000327D9" w:rsidRPr="003B725B">
        <w:rPr>
          <w:rFonts w:ascii="Calibri" w:hAnsi="Calibri" w:cs="Times New Roman"/>
          <w:sz w:val="24"/>
          <w:szCs w:val="24"/>
        </w:rPr>
        <w:t xml:space="preserve">en el </w:t>
      </w:r>
      <w:r w:rsidRPr="003B725B">
        <w:rPr>
          <w:rFonts w:ascii="Calibri" w:hAnsi="Calibri" w:cs="Times New Roman"/>
          <w:sz w:val="24"/>
          <w:szCs w:val="24"/>
        </w:rPr>
        <w:t xml:space="preserve">pacto, </w:t>
      </w:r>
      <w:r w:rsidR="000327D9" w:rsidRPr="003B725B">
        <w:rPr>
          <w:rFonts w:ascii="Calibri" w:hAnsi="Calibri" w:cs="Times New Roman"/>
          <w:sz w:val="24"/>
          <w:szCs w:val="24"/>
        </w:rPr>
        <w:t>l</w:t>
      </w:r>
      <w:r w:rsidRPr="003B725B">
        <w:rPr>
          <w:rFonts w:ascii="Calibri" w:hAnsi="Calibri" w:cs="Times New Roman"/>
          <w:sz w:val="24"/>
          <w:szCs w:val="24"/>
        </w:rPr>
        <w:t xml:space="preserve">a certificación </w:t>
      </w:r>
      <w:r w:rsidR="000327D9" w:rsidRPr="003B725B">
        <w:rPr>
          <w:rFonts w:ascii="Calibri" w:hAnsi="Calibri" w:cs="Times New Roman"/>
          <w:sz w:val="24"/>
          <w:szCs w:val="24"/>
        </w:rPr>
        <w:t>se limitará</w:t>
      </w:r>
      <w:r w:rsidRPr="003B725B">
        <w:rPr>
          <w:rFonts w:ascii="Calibri" w:hAnsi="Calibri" w:cs="Times New Roman"/>
          <w:sz w:val="24"/>
          <w:szCs w:val="24"/>
        </w:rPr>
        <w:t xml:space="preserve"> a transcribir </w:t>
      </w:r>
      <w:r w:rsidR="000327D9" w:rsidRPr="003B725B">
        <w:rPr>
          <w:rFonts w:ascii="Calibri" w:hAnsi="Calibri" w:cs="Times New Roman"/>
          <w:sz w:val="24"/>
          <w:szCs w:val="24"/>
        </w:rPr>
        <w:t>aquella parte del</w:t>
      </w:r>
      <w:r w:rsidRPr="003B725B">
        <w:rPr>
          <w:rFonts w:ascii="Calibri" w:hAnsi="Calibri" w:cs="Times New Roman"/>
          <w:sz w:val="24"/>
          <w:szCs w:val="24"/>
        </w:rPr>
        <w:t xml:space="preserve"> cont</w:t>
      </w:r>
      <w:r w:rsidR="000327D9" w:rsidRPr="003B725B">
        <w:rPr>
          <w:rFonts w:ascii="Calibri" w:hAnsi="Calibri" w:cs="Times New Roman"/>
          <w:sz w:val="24"/>
          <w:szCs w:val="24"/>
        </w:rPr>
        <w:t>en</w:t>
      </w:r>
      <w:r w:rsidRPr="003B725B">
        <w:rPr>
          <w:rFonts w:ascii="Calibri" w:hAnsi="Calibri" w:cs="Times New Roman"/>
          <w:sz w:val="24"/>
          <w:szCs w:val="24"/>
        </w:rPr>
        <w:t xml:space="preserve">ido </w:t>
      </w:r>
      <w:r w:rsidR="000327D9" w:rsidRPr="003B725B">
        <w:rPr>
          <w:rFonts w:ascii="Calibri" w:hAnsi="Calibri" w:cs="Times New Roman"/>
          <w:sz w:val="24"/>
          <w:szCs w:val="24"/>
        </w:rPr>
        <w:t>del pacto que se</w:t>
      </w:r>
      <w:r w:rsidRPr="003B725B">
        <w:rPr>
          <w:rFonts w:ascii="Calibri" w:hAnsi="Calibri" w:cs="Times New Roman"/>
          <w:sz w:val="24"/>
          <w:szCs w:val="24"/>
        </w:rPr>
        <w:t>a suficiente para dar</w:t>
      </w:r>
      <w:r w:rsidR="000327D9" w:rsidRPr="003B725B">
        <w:rPr>
          <w:rFonts w:ascii="Calibri" w:hAnsi="Calibri" w:cs="Times New Roman"/>
          <w:sz w:val="24"/>
          <w:szCs w:val="24"/>
        </w:rPr>
        <w:t>le cumpl</w:t>
      </w:r>
      <w:r w:rsidRPr="003B725B">
        <w:rPr>
          <w:rFonts w:ascii="Calibri" w:hAnsi="Calibri" w:cs="Times New Roman"/>
          <w:sz w:val="24"/>
          <w:szCs w:val="24"/>
        </w:rPr>
        <w:t>im</w:t>
      </w:r>
      <w:r w:rsidR="000327D9" w:rsidRPr="003B725B">
        <w:rPr>
          <w:rFonts w:ascii="Calibri" w:hAnsi="Calibri" w:cs="Times New Roman"/>
          <w:sz w:val="24"/>
          <w:szCs w:val="24"/>
        </w:rPr>
        <w:t>iento a la</w:t>
      </w:r>
      <w:r w:rsidRPr="003B725B">
        <w:rPr>
          <w:rFonts w:ascii="Calibri" w:hAnsi="Calibri" w:cs="Times New Roman"/>
          <w:sz w:val="24"/>
          <w:szCs w:val="24"/>
        </w:rPr>
        <w:t xml:space="preserve"> </w:t>
      </w:r>
      <w:r w:rsidR="000327D9" w:rsidRPr="003B725B">
        <w:rPr>
          <w:rFonts w:ascii="Calibri" w:hAnsi="Calibri" w:cs="Times New Roman"/>
          <w:sz w:val="24"/>
          <w:szCs w:val="24"/>
        </w:rPr>
        <w:t>solicitud</w:t>
      </w:r>
      <w:r w:rsidRPr="003B725B">
        <w:rPr>
          <w:rFonts w:ascii="Calibri" w:hAnsi="Calibri" w:cs="Times New Roman"/>
          <w:sz w:val="24"/>
          <w:szCs w:val="24"/>
        </w:rPr>
        <w:t xml:space="preserve"> presentada. S</w:t>
      </w:r>
      <w:r w:rsidR="000327D9" w:rsidRPr="003B725B">
        <w:rPr>
          <w:rFonts w:ascii="Calibri" w:hAnsi="Calibri" w:cs="Times New Roman"/>
          <w:sz w:val="24"/>
          <w:szCs w:val="24"/>
        </w:rPr>
        <w:t>i</w:t>
      </w:r>
      <w:r w:rsidRPr="003B725B">
        <w:rPr>
          <w:rFonts w:ascii="Calibri" w:hAnsi="Calibri" w:cs="Times New Roman"/>
          <w:sz w:val="24"/>
          <w:szCs w:val="24"/>
        </w:rPr>
        <w:t xml:space="preserve"> se solicitase </w:t>
      </w:r>
      <w:r w:rsidR="000327D9" w:rsidRPr="003B725B">
        <w:rPr>
          <w:rFonts w:ascii="Calibri" w:hAnsi="Calibri" w:cs="Times New Roman"/>
          <w:sz w:val="24"/>
          <w:szCs w:val="24"/>
        </w:rPr>
        <w:t>el</w:t>
      </w:r>
      <w:r w:rsidRPr="003B725B">
        <w:rPr>
          <w:rFonts w:ascii="Calibri" w:hAnsi="Calibri" w:cs="Times New Roman"/>
          <w:sz w:val="24"/>
          <w:szCs w:val="24"/>
        </w:rPr>
        <w:t xml:space="preserve"> </w:t>
      </w:r>
      <w:r w:rsidRPr="003B725B">
        <w:rPr>
          <w:rFonts w:ascii="Calibri" w:hAnsi="Calibri" w:cs="Times New Roman"/>
          <w:sz w:val="24"/>
          <w:szCs w:val="24"/>
        </w:rPr>
        <w:lastRenderedPageBreak/>
        <w:t>cont</w:t>
      </w:r>
      <w:r w:rsidR="000327D9" w:rsidRPr="003B725B">
        <w:rPr>
          <w:rFonts w:ascii="Calibri" w:hAnsi="Calibri" w:cs="Times New Roman"/>
          <w:sz w:val="24"/>
          <w:szCs w:val="24"/>
        </w:rPr>
        <w:t>enido completo del</w:t>
      </w:r>
      <w:r w:rsidRPr="003B725B">
        <w:rPr>
          <w:rFonts w:ascii="Calibri" w:hAnsi="Calibri" w:cs="Times New Roman"/>
          <w:sz w:val="24"/>
          <w:szCs w:val="24"/>
        </w:rPr>
        <w:t xml:space="preserve"> pacto, </w:t>
      </w:r>
      <w:r w:rsidR="000327D9" w:rsidRPr="003B725B">
        <w:rPr>
          <w:rFonts w:ascii="Calibri" w:hAnsi="Calibri" w:cs="Times New Roman"/>
          <w:sz w:val="24"/>
          <w:szCs w:val="24"/>
        </w:rPr>
        <w:t>se transcribirá</w:t>
      </w:r>
      <w:r w:rsidRPr="003B725B">
        <w:rPr>
          <w:rFonts w:ascii="Calibri" w:hAnsi="Calibri" w:cs="Times New Roman"/>
          <w:sz w:val="24"/>
          <w:szCs w:val="24"/>
        </w:rPr>
        <w:t xml:space="preserve"> </w:t>
      </w:r>
      <w:r w:rsidR="000327D9" w:rsidRPr="003B725B">
        <w:rPr>
          <w:rFonts w:ascii="Calibri" w:hAnsi="Calibri" w:cs="Times New Roman"/>
          <w:sz w:val="24"/>
          <w:szCs w:val="24"/>
        </w:rPr>
        <w:t>íntegramente con indicación del lugar y la fecha</w:t>
      </w:r>
      <w:r w:rsidRPr="003B725B">
        <w:rPr>
          <w:rFonts w:ascii="Calibri" w:hAnsi="Calibri" w:cs="Times New Roman"/>
          <w:sz w:val="24"/>
          <w:szCs w:val="24"/>
        </w:rPr>
        <w:t xml:space="preserve"> d</w:t>
      </w:r>
      <w:r w:rsidR="000327D9" w:rsidRPr="003B725B">
        <w:rPr>
          <w:rFonts w:ascii="Calibri" w:hAnsi="Calibri" w:cs="Times New Roman"/>
          <w:sz w:val="24"/>
          <w:szCs w:val="24"/>
        </w:rPr>
        <w:t>e la firma del</w:t>
      </w:r>
      <w:r w:rsidRPr="003B725B">
        <w:rPr>
          <w:rFonts w:ascii="Calibri" w:hAnsi="Calibri" w:cs="Times New Roman"/>
          <w:sz w:val="24"/>
          <w:szCs w:val="24"/>
        </w:rPr>
        <w:t xml:space="preserve"> pacto».</w:t>
      </w:r>
      <w:r w:rsidR="006E78FC" w:rsidRPr="003B725B">
        <w:rPr>
          <w:rFonts w:ascii="Calibri" w:hAnsi="Calibri" w:cs="Times New Roman"/>
          <w:sz w:val="24"/>
          <w:szCs w:val="24"/>
        </w:rPr>
        <w:t xml:space="preserve"> </w:t>
      </w:r>
    </w:p>
    <w:p w:rsidR="004178EB" w:rsidRPr="003B725B" w:rsidRDefault="006E78FC" w:rsidP="00416B3A">
      <w:pPr>
        <w:spacing w:line="312" w:lineRule="auto"/>
        <w:ind w:left="567"/>
        <w:jc w:val="both"/>
        <w:rPr>
          <w:rFonts w:ascii="Calibri" w:hAnsi="Calibri" w:cs="Times New Roman"/>
          <w:sz w:val="24"/>
          <w:szCs w:val="24"/>
          <w:shd w:val="clear" w:color="auto" w:fill="FFFFFF"/>
        </w:rPr>
      </w:pPr>
      <w:r w:rsidRPr="003B725B">
        <w:rPr>
          <w:rFonts w:ascii="Calibri" w:hAnsi="Calibri" w:cs="Times New Roman"/>
          <w:sz w:val="24"/>
          <w:szCs w:val="24"/>
        </w:rPr>
        <w:t>Finalmente, el art. 26 señala que «</w:t>
      </w:r>
      <w:r w:rsidR="000327D9" w:rsidRPr="003B725B">
        <w:rPr>
          <w:rFonts w:ascii="Calibri" w:hAnsi="Calibri" w:cs="Times New Roman"/>
          <w:sz w:val="24"/>
          <w:szCs w:val="24"/>
        </w:rPr>
        <w:t>l</w:t>
      </w:r>
      <w:r w:rsidRPr="003B725B">
        <w:rPr>
          <w:rFonts w:ascii="Calibri" w:hAnsi="Calibri" w:cs="Times New Roman"/>
          <w:sz w:val="24"/>
          <w:szCs w:val="24"/>
        </w:rPr>
        <w:t>a consulta directa d</w:t>
      </w:r>
      <w:r w:rsidR="000327D9" w:rsidRPr="003B725B">
        <w:rPr>
          <w:rFonts w:ascii="Calibri" w:hAnsi="Calibri" w:cs="Times New Roman"/>
          <w:sz w:val="24"/>
          <w:szCs w:val="24"/>
        </w:rPr>
        <w:t>e l</w:t>
      </w:r>
      <w:r w:rsidRPr="003B725B">
        <w:rPr>
          <w:rFonts w:ascii="Calibri" w:hAnsi="Calibri" w:cs="Times New Roman"/>
          <w:sz w:val="24"/>
          <w:szCs w:val="24"/>
        </w:rPr>
        <w:t>os expedie</w:t>
      </w:r>
      <w:r w:rsidR="000327D9" w:rsidRPr="003B725B">
        <w:rPr>
          <w:rFonts w:ascii="Calibri" w:hAnsi="Calibri" w:cs="Times New Roman"/>
          <w:sz w:val="24"/>
          <w:szCs w:val="24"/>
        </w:rPr>
        <w:t>ntes arch</w:t>
      </w:r>
      <w:r w:rsidRPr="003B725B">
        <w:rPr>
          <w:rFonts w:ascii="Calibri" w:hAnsi="Calibri" w:cs="Times New Roman"/>
          <w:sz w:val="24"/>
          <w:szCs w:val="24"/>
        </w:rPr>
        <w:t xml:space="preserve">ivados </w:t>
      </w:r>
      <w:r w:rsidR="000327D9" w:rsidRPr="003B725B">
        <w:rPr>
          <w:rFonts w:ascii="Calibri" w:hAnsi="Calibri" w:cs="Times New Roman"/>
          <w:sz w:val="24"/>
          <w:szCs w:val="24"/>
        </w:rPr>
        <w:t>en el reg</w:t>
      </w:r>
      <w:r w:rsidRPr="003B725B">
        <w:rPr>
          <w:rFonts w:ascii="Calibri" w:hAnsi="Calibri" w:cs="Times New Roman"/>
          <w:sz w:val="24"/>
          <w:szCs w:val="24"/>
        </w:rPr>
        <w:t xml:space="preserve">istro </w:t>
      </w:r>
      <w:r w:rsidR="000327D9" w:rsidRPr="003B725B">
        <w:rPr>
          <w:rFonts w:ascii="Calibri" w:hAnsi="Calibri" w:cs="Times New Roman"/>
          <w:sz w:val="24"/>
          <w:szCs w:val="24"/>
        </w:rPr>
        <w:t>solamente</w:t>
      </w:r>
      <w:r w:rsidRPr="003B725B">
        <w:rPr>
          <w:rFonts w:ascii="Calibri" w:hAnsi="Calibri" w:cs="Times New Roman"/>
          <w:sz w:val="24"/>
          <w:szCs w:val="24"/>
        </w:rPr>
        <w:t xml:space="preserve"> </w:t>
      </w:r>
      <w:r w:rsidR="000327D9" w:rsidRPr="003B725B">
        <w:rPr>
          <w:rFonts w:ascii="Calibri" w:hAnsi="Calibri" w:cs="Times New Roman"/>
          <w:sz w:val="24"/>
          <w:szCs w:val="24"/>
        </w:rPr>
        <w:t>podrá</w:t>
      </w:r>
      <w:r w:rsidRPr="003B725B">
        <w:rPr>
          <w:rFonts w:ascii="Calibri" w:hAnsi="Calibri" w:cs="Times New Roman"/>
          <w:sz w:val="24"/>
          <w:szCs w:val="24"/>
        </w:rPr>
        <w:t xml:space="preserve"> efectuarse, </w:t>
      </w:r>
      <w:r w:rsidR="000327D9" w:rsidRPr="003B725B">
        <w:rPr>
          <w:rFonts w:ascii="Calibri" w:hAnsi="Calibri" w:cs="Times New Roman"/>
          <w:sz w:val="24"/>
          <w:szCs w:val="24"/>
        </w:rPr>
        <w:t>ademáis</w:t>
      </w:r>
      <w:r w:rsidRPr="003B725B">
        <w:rPr>
          <w:rFonts w:ascii="Calibri" w:hAnsi="Calibri" w:cs="Times New Roman"/>
          <w:sz w:val="24"/>
          <w:szCs w:val="24"/>
        </w:rPr>
        <w:t xml:space="preserve"> de po</w:t>
      </w:r>
      <w:r w:rsidR="000327D9" w:rsidRPr="003B725B">
        <w:rPr>
          <w:rFonts w:ascii="Calibri" w:hAnsi="Calibri" w:cs="Times New Roman"/>
          <w:sz w:val="24"/>
          <w:szCs w:val="24"/>
        </w:rPr>
        <w:t xml:space="preserve">r </w:t>
      </w:r>
      <w:r w:rsidRPr="003B725B">
        <w:rPr>
          <w:rFonts w:ascii="Calibri" w:hAnsi="Calibri" w:cs="Times New Roman"/>
          <w:sz w:val="24"/>
          <w:szCs w:val="24"/>
        </w:rPr>
        <w:t xml:space="preserve">los propios </w:t>
      </w:r>
      <w:r w:rsidR="000327D9" w:rsidRPr="003B725B">
        <w:rPr>
          <w:rFonts w:ascii="Calibri" w:hAnsi="Calibri" w:cs="Times New Roman"/>
          <w:sz w:val="24"/>
          <w:szCs w:val="24"/>
        </w:rPr>
        <w:t>miembros</w:t>
      </w:r>
      <w:r w:rsidRPr="003B725B">
        <w:rPr>
          <w:rFonts w:ascii="Calibri" w:hAnsi="Calibri" w:cs="Times New Roman"/>
          <w:sz w:val="24"/>
          <w:szCs w:val="24"/>
        </w:rPr>
        <w:t xml:space="preserve"> d</w:t>
      </w:r>
      <w:r w:rsidR="000327D9" w:rsidRPr="003B725B">
        <w:rPr>
          <w:rFonts w:ascii="Calibri" w:hAnsi="Calibri" w:cs="Times New Roman"/>
          <w:sz w:val="24"/>
          <w:szCs w:val="24"/>
        </w:rPr>
        <w:t>e la parej</w:t>
      </w:r>
      <w:r w:rsidRPr="003B725B">
        <w:rPr>
          <w:rFonts w:ascii="Calibri" w:hAnsi="Calibri" w:cs="Times New Roman"/>
          <w:sz w:val="24"/>
          <w:szCs w:val="24"/>
        </w:rPr>
        <w:t xml:space="preserve">a, por </w:t>
      </w:r>
      <w:r w:rsidR="000327D9" w:rsidRPr="003B725B">
        <w:rPr>
          <w:rFonts w:ascii="Calibri" w:hAnsi="Calibri" w:cs="Times New Roman"/>
          <w:sz w:val="24"/>
          <w:szCs w:val="24"/>
        </w:rPr>
        <w:t>terceros</w:t>
      </w:r>
      <w:r w:rsidRPr="003B725B">
        <w:rPr>
          <w:rFonts w:ascii="Calibri" w:hAnsi="Calibri" w:cs="Times New Roman"/>
          <w:sz w:val="24"/>
          <w:szCs w:val="24"/>
        </w:rPr>
        <w:t xml:space="preserve"> que acrediten un </w:t>
      </w:r>
      <w:r w:rsidR="000327D9" w:rsidRPr="003B725B">
        <w:rPr>
          <w:rFonts w:ascii="Calibri" w:hAnsi="Calibri" w:cs="Times New Roman"/>
          <w:sz w:val="24"/>
          <w:szCs w:val="24"/>
        </w:rPr>
        <w:t>interés</w:t>
      </w:r>
      <w:r w:rsidRPr="003B725B">
        <w:rPr>
          <w:rFonts w:ascii="Calibri" w:hAnsi="Calibri" w:cs="Times New Roman"/>
          <w:sz w:val="24"/>
          <w:szCs w:val="24"/>
        </w:rPr>
        <w:t xml:space="preserve"> </w:t>
      </w:r>
      <w:r w:rsidR="000327D9" w:rsidRPr="003B725B">
        <w:rPr>
          <w:rFonts w:ascii="Calibri" w:hAnsi="Calibri" w:cs="Times New Roman"/>
          <w:sz w:val="24"/>
          <w:szCs w:val="24"/>
        </w:rPr>
        <w:t>legítimo</w:t>
      </w:r>
      <w:r w:rsidRPr="003B725B">
        <w:rPr>
          <w:rFonts w:ascii="Calibri" w:hAnsi="Calibri" w:cs="Times New Roman"/>
          <w:sz w:val="24"/>
          <w:szCs w:val="24"/>
        </w:rPr>
        <w:t xml:space="preserve"> </w:t>
      </w:r>
      <w:r w:rsidR="000327D9" w:rsidRPr="003B725B">
        <w:rPr>
          <w:rFonts w:ascii="Calibri" w:hAnsi="Calibri" w:cs="Times New Roman"/>
          <w:sz w:val="24"/>
          <w:szCs w:val="24"/>
        </w:rPr>
        <w:t>en los</w:t>
      </w:r>
      <w:r w:rsidRPr="003B725B">
        <w:rPr>
          <w:rFonts w:ascii="Calibri" w:hAnsi="Calibri" w:cs="Times New Roman"/>
          <w:sz w:val="24"/>
          <w:szCs w:val="24"/>
        </w:rPr>
        <w:t xml:space="preserve"> </w:t>
      </w:r>
      <w:r w:rsidR="000327D9" w:rsidRPr="003B725B">
        <w:rPr>
          <w:rFonts w:ascii="Calibri" w:hAnsi="Calibri" w:cs="Times New Roman"/>
          <w:sz w:val="24"/>
          <w:szCs w:val="24"/>
        </w:rPr>
        <w:t>términos</w:t>
      </w:r>
      <w:r w:rsidRPr="003B725B">
        <w:rPr>
          <w:rFonts w:ascii="Calibri" w:hAnsi="Calibri" w:cs="Times New Roman"/>
          <w:sz w:val="24"/>
          <w:szCs w:val="24"/>
        </w:rPr>
        <w:t xml:space="preserve"> previstos </w:t>
      </w:r>
      <w:r w:rsidR="000327D9" w:rsidRPr="003B725B">
        <w:rPr>
          <w:rFonts w:ascii="Calibri" w:hAnsi="Calibri" w:cs="Times New Roman"/>
          <w:sz w:val="24"/>
          <w:szCs w:val="24"/>
        </w:rPr>
        <w:t>en el artículo 37 de la Ley 30/1992, de</w:t>
      </w:r>
      <w:r w:rsidRPr="003B725B">
        <w:rPr>
          <w:rFonts w:ascii="Calibri" w:hAnsi="Calibri" w:cs="Times New Roman"/>
          <w:sz w:val="24"/>
          <w:szCs w:val="24"/>
        </w:rPr>
        <w:t xml:space="preserve"> 26 de nov</w:t>
      </w:r>
      <w:r w:rsidR="000327D9" w:rsidRPr="003B725B">
        <w:rPr>
          <w:rFonts w:ascii="Calibri" w:hAnsi="Calibri" w:cs="Times New Roman"/>
          <w:sz w:val="24"/>
          <w:szCs w:val="24"/>
        </w:rPr>
        <w:t>iembre</w:t>
      </w:r>
      <w:r w:rsidR="005E4ADF" w:rsidRPr="003B725B">
        <w:rPr>
          <w:rStyle w:val="Refdenotaalpie"/>
          <w:rFonts w:ascii="Calibri" w:hAnsi="Calibri" w:cs="Times New Roman"/>
          <w:sz w:val="24"/>
          <w:szCs w:val="24"/>
        </w:rPr>
        <w:footnoteReference w:id="110"/>
      </w:r>
      <w:r w:rsidRPr="003B725B">
        <w:rPr>
          <w:rFonts w:ascii="Calibri" w:hAnsi="Calibri" w:cs="Times New Roman"/>
          <w:sz w:val="24"/>
          <w:szCs w:val="24"/>
        </w:rPr>
        <w:t>, así como po</w:t>
      </w:r>
      <w:r w:rsidR="000327D9" w:rsidRPr="003B725B">
        <w:rPr>
          <w:rFonts w:ascii="Calibri" w:hAnsi="Calibri" w:cs="Times New Roman"/>
          <w:sz w:val="24"/>
          <w:szCs w:val="24"/>
        </w:rPr>
        <w:t xml:space="preserve">r </w:t>
      </w:r>
      <w:r w:rsidRPr="003B725B">
        <w:rPr>
          <w:rFonts w:ascii="Calibri" w:hAnsi="Calibri" w:cs="Times New Roman"/>
          <w:sz w:val="24"/>
          <w:szCs w:val="24"/>
        </w:rPr>
        <w:t xml:space="preserve">los órganos </w:t>
      </w:r>
      <w:r w:rsidR="000327D9" w:rsidRPr="003B725B">
        <w:rPr>
          <w:rFonts w:ascii="Calibri" w:hAnsi="Calibri" w:cs="Times New Roman"/>
          <w:sz w:val="24"/>
          <w:szCs w:val="24"/>
        </w:rPr>
        <w:t>judiciales</w:t>
      </w:r>
      <w:r w:rsidRPr="003B725B">
        <w:rPr>
          <w:rFonts w:ascii="Calibri" w:hAnsi="Calibri" w:cs="Times New Roman"/>
          <w:sz w:val="24"/>
          <w:szCs w:val="24"/>
        </w:rPr>
        <w:t xml:space="preserve">. </w:t>
      </w:r>
      <w:r w:rsidR="000327D9" w:rsidRPr="003B725B">
        <w:rPr>
          <w:rFonts w:ascii="Calibri" w:hAnsi="Calibri" w:cs="Times New Roman"/>
          <w:sz w:val="24"/>
          <w:szCs w:val="24"/>
        </w:rPr>
        <w:t>La</w:t>
      </w:r>
      <w:r w:rsidRPr="003B725B">
        <w:rPr>
          <w:rFonts w:ascii="Calibri" w:hAnsi="Calibri" w:cs="Times New Roman"/>
          <w:sz w:val="24"/>
          <w:szCs w:val="24"/>
        </w:rPr>
        <w:t xml:space="preserve"> expedición de </w:t>
      </w:r>
      <w:r w:rsidR="000327D9" w:rsidRPr="003B725B">
        <w:rPr>
          <w:rFonts w:ascii="Calibri" w:hAnsi="Calibri" w:cs="Times New Roman"/>
          <w:sz w:val="24"/>
          <w:szCs w:val="24"/>
        </w:rPr>
        <w:t>certificaciones</w:t>
      </w:r>
      <w:r w:rsidRPr="003B725B">
        <w:rPr>
          <w:rFonts w:ascii="Calibri" w:hAnsi="Calibri" w:cs="Times New Roman"/>
          <w:sz w:val="24"/>
          <w:szCs w:val="24"/>
        </w:rPr>
        <w:t xml:space="preserve"> </w:t>
      </w:r>
      <w:r w:rsidR="000327D9" w:rsidRPr="003B725B">
        <w:rPr>
          <w:rFonts w:ascii="Calibri" w:hAnsi="Calibri" w:cs="Times New Roman"/>
          <w:sz w:val="24"/>
          <w:szCs w:val="24"/>
        </w:rPr>
        <w:t>y</w:t>
      </w:r>
      <w:r w:rsidRPr="003B725B">
        <w:rPr>
          <w:rFonts w:ascii="Calibri" w:hAnsi="Calibri" w:cs="Times New Roman"/>
          <w:sz w:val="24"/>
          <w:szCs w:val="24"/>
        </w:rPr>
        <w:t xml:space="preserve"> </w:t>
      </w:r>
      <w:r w:rsidR="000327D9" w:rsidRPr="003B725B">
        <w:rPr>
          <w:rFonts w:ascii="Calibri" w:hAnsi="Calibri" w:cs="Times New Roman"/>
          <w:sz w:val="24"/>
          <w:szCs w:val="24"/>
        </w:rPr>
        <w:t>l</w:t>
      </w:r>
      <w:r w:rsidRPr="003B725B">
        <w:rPr>
          <w:rFonts w:ascii="Calibri" w:hAnsi="Calibri" w:cs="Times New Roman"/>
          <w:sz w:val="24"/>
          <w:szCs w:val="24"/>
        </w:rPr>
        <w:t xml:space="preserve">a consulta de </w:t>
      </w:r>
      <w:r w:rsidR="000327D9" w:rsidRPr="003B725B">
        <w:rPr>
          <w:rFonts w:ascii="Calibri" w:hAnsi="Calibri" w:cs="Times New Roman"/>
          <w:sz w:val="24"/>
          <w:szCs w:val="24"/>
        </w:rPr>
        <w:t xml:space="preserve">los </w:t>
      </w:r>
      <w:r w:rsidRPr="003B725B">
        <w:rPr>
          <w:rFonts w:ascii="Calibri" w:hAnsi="Calibri" w:cs="Times New Roman"/>
          <w:sz w:val="24"/>
          <w:szCs w:val="24"/>
        </w:rPr>
        <w:t>documentos cont</w:t>
      </w:r>
      <w:r w:rsidR="000327D9" w:rsidRPr="003B725B">
        <w:rPr>
          <w:rFonts w:ascii="Calibri" w:hAnsi="Calibri" w:cs="Times New Roman"/>
          <w:sz w:val="24"/>
          <w:szCs w:val="24"/>
        </w:rPr>
        <w:t>en</w:t>
      </w:r>
      <w:r w:rsidRPr="003B725B">
        <w:rPr>
          <w:rFonts w:ascii="Calibri" w:hAnsi="Calibri" w:cs="Times New Roman"/>
          <w:sz w:val="24"/>
          <w:szCs w:val="24"/>
        </w:rPr>
        <w:t xml:space="preserve">idos </w:t>
      </w:r>
      <w:r w:rsidR="000327D9" w:rsidRPr="003B725B">
        <w:rPr>
          <w:rFonts w:ascii="Calibri" w:hAnsi="Calibri" w:cs="Times New Roman"/>
          <w:sz w:val="24"/>
          <w:szCs w:val="24"/>
        </w:rPr>
        <w:t>en los</w:t>
      </w:r>
      <w:r w:rsidRPr="003B725B">
        <w:rPr>
          <w:rFonts w:ascii="Calibri" w:hAnsi="Calibri" w:cs="Times New Roman"/>
          <w:sz w:val="24"/>
          <w:szCs w:val="24"/>
        </w:rPr>
        <w:t xml:space="preserve"> expedientes quedará limitada a </w:t>
      </w:r>
      <w:r w:rsidR="000327D9" w:rsidRPr="003B725B">
        <w:rPr>
          <w:rFonts w:ascii="Calibri" w:hAnsi="Calibri" w:cs="Times New Roman"/>
          <w:sz w:val="24"/>
          <w:szCs w:val="24"/>
        </w:rPr>
        <w:t>aquellas</w:t>
      </w:r>
      <w:r w:rsidRPr="003B725B">
        <w:rPr>
          <w:rFonts w:ascii="Calibri" w:hAnsi="Calibri" w:cs="Times New Roman"/>
          <w:sz w:val="24"/>
          <w:szCs w:val="24"/>
        </w:rPr>
        <w:t xml:space="preserve"> </w:t>
      </w:r>
      <w:r w:rsidR="000327D9" w:rsidRPr="003B725B">
        <w:rPr>
          <w:rFonts w:ascii="Calibri" w:hAnsi="Calibri" w:cs="Times New Roman"/>
          <w:sz w:val="24"/>
          <w:szCs w:val="24"/>
        </w:rPr>
        <w:t>personas</w:t>
      </w:r>
      <w:r w:rsidRPr="003B725B">
        <w:rPr>
          <w:rFonts w:ascii="Calibri" w:hAnsi="Calibri" w:cs="Times New Roman"/>
          <w:sz w:val="24"/>
          <w:szCs w:val="24"/>
        </w:rPr>
        <w:t xml:space="preserve"> que</w:t>
      </w:r>
      <w:r w:rsidR="005E4ADF" w:rsidRPr="003B725B">
        <w:rPr>
          <w:rFonts w:ascii="Calibri" w:hAnsi="Calibri" w:cs="Times New Roman"/>
          <w:sz w:val="24"/>
          <w:szCs w:val="24"/>
        </w:rPr>
        <w:t xml:space="preserve"> acrediten un </w:t>
      </w:r>
      <w:r w:rsidR="000327D9" w:rsidRPr="003B725B">
        <w:rPr>
          <w:rFonts w:ascii="Calibri" w:hAnsi="Calibri" w:cs="Times New Roman"/>
          <w:sz w:val="24"/>
          <w:szCs w:val="24"/>
        </w:rPr>
        <w:t>interés leg</w:t>
      </w:r>
      <w:r w:rsidR="005E4ADF" w:rsidRPr="003B725B">
        <w:rPr>
          <w:rFonts w:ascii="Calibri" w:hAnsi="Calibri" w:cs="Times New Roman"/>
          <w:sz w:val="24"/>
          <w:szCs w:val="24"/>
        </w:rPr>
        <w:t>ítimo</w:t>
      </w:r>
      <w:r w:rsidR="005074E9" w:rsidRPr="003B725B">
        <w:rPr>
          <w:rStyle w:val="Refdenotaalpie"/>
          <w:rFonts w:ascii="Calibri" w:hAnsi="Calibri" w:cs="Times New Roman"/>
          <w:sz w:val="24"/>
          <w:szCs w:val="24"/>
        </w:rPr>
        <w:footnoteReference w:id="111"/>
      </w:r>
      <w:r w:rsidRPr="003B725B">
        <w:rPr>
          <w:rFonts w:ascii="Calibri" w:hAnsi="Calibri" w:cs="Times New Roman"/>
          <w:sz w:val="24"/>
          <w:szCs w:val="24"/>
        </w:rPr>
        <w:t>»</w:t>
      </w:r>
      <w:r w:rsidR="005E4ADF" w:rsidRPr="003B725B">
        <w:rPr>
          <w:rFonts w:ascii="Calibri" w:hAnsi="Calibri" w:cs="Times New Roman"/>
          <w:sz w:val="24"/>
          <w:szCs w:val="24"/>
        </w:rPr>
        <w:t>.</w:t>
      </w:r>
    </w:p>
    <w:p w:rsidR="00DA710A" w:rsidRPr="006730E3" w:rsidRDefault="00AE4D7F"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Cabría pensar que el legislador gallego únicamente extrapola las genéricas previsiones sobre el acceso a archivos y registros administrativos </w:t>
      </w:r>
      <w:proofErr w:type="gramStart"/>
      <w:r w:rsidRPr="006730E3">
        <w:rPr>
          <w:rFonts w:ascii="Calibri" w:hAnsi="Calibri" w:cs="Times New Roman"/>
          <w:sz w:val="24"/>
          <w:szCs w:val="24"/>
        </w:rPr>
        <w:t>propias</w:t>
      </w:r>
      <w:proofErr w:type="gramEnd"/>
      <w:r w:rsidRPr="006730E3">
        <w:rPr>
          <w:rFonts w:ascii="Calibri" w:hAnsi="Calibri" w:cs="Times New Roman"/>
          <w:sz w:val="24"/>
          <w:szCs w:val="24"/>
        </w:rPr>
        <w:t xml:space="preserve"> de esta rama del Derecho, </w:t>
      </w:r>
      <w:r w:rsidR="000F0C0F" w:rsidRPr="006730E3">
        <w:rPr>
          <w:rFonts w:ascii="Calibri" w:hAnsi="Calibri" w:cs="Times New Roman"/>
          <w:sz w:val="24"/>
          <w:szCs w:val="24"/>
        </w:rPr>
        <w:t>por mucho que sea</w:t>
      </w:r>
      <w:r w:rsidRPr="006730E3">
        <w:rPr>
          <w:rFonts w:ascii="Calibri" w:hAnsi="Calibri" w:cs="Times New Roman"/>
          <w:sz w:val="24"/>
          <w:szCs w:val="24"/>
        </w:rPr>
        <w:t xml:space="preserve"> una peculiaridad </w:t>
      </w:r>
      <w:r w:rsidR="003F0AA9" w:rsidRPr="006730E3">
        <w:rPr>
          <w:rFonts w:ascii="Calibri" w:hAnsi="Calibri" w:cs="Times New Roman"/>
          <w:sz w:val="24"/>
          <w:szCs w:val="24"/>
        </w:rPr>
        <w:t>que</w:t>
      </w:r>
      <w:r w:rsidRPr="006730E3">
        <w:rPr>
          <w:rFonts w:ascii="Calibri" w:hAnsi="Calibri" w:cs="Times New Roman"/>
          <w:sz w:val="24"/>
          <w:szCs w:val="24"/>
        </w:rPr>
        <w:t xml:space="preserve"> la regulación gallega</w:t>
      </w:r>
      <w:r w:rsidR="003F0AA9" w:rsidRPr="006730E3">
        <w:rPr>
          <w:rFonts w:ascii="Calibri" w:hAnsi="Calibri" w:cs="Times New Roman"/>
          <w:sz w:val="24"/>
          <w:szCs w:val="24"/>
        </w:rPr>
        <w:t xml:space="preserve"> prevea</w:t>
      </w:r>
      <w:r w:rsidRPr="006730E3">
        <w:rPr>
          <w:rFonts w:ascii="Calibri" w:hAnsi="Calibri" w:cs="Times New Roman"/>
          <w:sz w:val="24"/>
          <w:szCs w:val="24"/>
        </w:rPr>
        <w:t>, junto a la vasca, el acceso de terceros interesados</w:t>
      </w:r>
      <w:r w:rsidR="000F0C0F" w:rsidRPr="006730E3">
        <w:rPr>
          <w:rFonts w:ascii="Calibri" w:hAnsi="Calibri" w:cs="Times New Roman"/>
          <w:sz w:val="24"/>
          <w:szCs w:val="24"/>
        </w:rPr>
        <w:t xml:space="preserve"> a la información de las parejas inscritas. Sin embargo, </w:t>
      </w:r>
      <w:r w:rsidR="003E4F0F" w:rsidRPr="006730E3">
        <w:rPr>
          <w:rFonts w:ascii="Calibri" w:hAnsi="Calibri" w:cs="Times New Roman"/>
          <w:sz w:val="24"/>
          <w:szCs w:val="24"/>
        </w:rPr>
        <w:t>la referencia al interés legítimo que realiza el Decreto es otro ejemplo más de la copia</w:t>
      </w:r>
      <w:r w:rsidR="00DA710A" w:rsidRPr="006730E3">
        <w:rPr>
          <w:rFonts w:ascii="Calibri" w:hAnsi="Calibri" w:cs="Times New Roman"/>
          <w:sz w:val="24"/>
          <w:szCs w:val="24"/>
        </w:rPr>
        <w:t xml:space="preserve"> sistemática que el RPHG realiza de la estructura y conceptos propios de los registros </w:t>
      </w:r>
      <w:r w:rsidR="000327D9" w:rsidRPr="006730E3">
        <w:rPr>
          <w:rFonts w:ascii="Calibri" w:hAnsi="Calibri" w:cs="Times New Roman"/>
          <w:sz w:val="24"/>
          <w:szCs w:val="24"/>
        </w:rPr>
        <w:t>con efectos civiles</w:t>
      </w:r>
      <w:r w:rsidR="00DA710A" w:rsidRPr="006730E3">
        <w:rPr>
          <w:rFonts w:ascii="Calibri" w:hAnsi="Calibri" w:cs="Times New Roman"/>
          <w:sz w:val="24"/>
          <w:szCs w:val="24"/>
        </w:rPr>
        <w:t>. En el ámbito hipotecario, el registrador califica el interés legítimo de una solicitud de publicidad formal, el cual se valora, entre otras consideraciones, en atención</w:t>
      </w:r>
      <w:r w:rsidR="000327D9" w:rsidRPr="006730E3">
        <w:rPr>
          <w:rFonts w:ascii="Calibri" w:hAnsi="Calibri" w:cs="Times New Roman"/>
          <w:sz w:val="24"/>
          <w:szCs w:val="24"/>
        </w:rPr>
        <w:t xml:space="preserve"> a la finalidad de la consulta, </w:t>
      </w:r>
      <w:r w:rsidR="00DA710A" w:rsidRPr="006730E3">
        <w:rPr>
          <w:rFonts w:ascii="Calibri" w:hAnsi="Calibri" w:cs="Times New Roman"/>
          <w:sz w:val="24"/>
          <w:szCs w:val="24"/>
        </w:rPr>
        <w:t>como «la investigación, jurídica, en sentido amplio, patrimonial y económica (crédito, solvencia y responsabilidad), así como la investigación estrictamente jurídica encaminada a la contratación o a la interposición de acciones judiciales»</w:t>
      </w:r>
      <w:r w:rsidR="00DA710A" w:rsidRPr="006730E3">
        <w:rPr>
          <w:rStyle w:val="Refdenotaalpie"/>
          <w:rFonts w:ascii="Calibri" w:hAnsi="Calibri" w:cs="Times New Roman"/>
          <w:sz w:val="24"/>
          <w:szCs w:val="24"/>
        </w:rPr>
        <w:footnoteReference w:id="112"/>
      </w:r>
      <w:r w:rsidR="00DA710A" w:rsidRPr="006730E3">
        <w:rPr>
          <w:rFonts w:ascii="Calibri" w:hAnsi="Calibri" w:cs="Times New Roman"/>
          <w:sz w:val="24"/>
          <w:szCs w:val="24"/>
        </w:rPr>
        <w:t xml:space="preserve">. </w:t>
      </w:r>
    </w:p>
    <w:p w:rsidR="005E4ADF" w:rsidRPr="006730E3" w:rsidRDefault="00DA710A"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Por lo tanto, estas previsiones del RPHG </w:t>
      </w:r>
      <w:r w:rsidR="000F0C0F" w:rsidRPr="006730E3">
        <w:rPr>
          <w:rFonts w:ascii="Calibri" w:hAnsi="Calibri" w:cs="Times New Roman"/>
          <w:sz w:val="24"/>
          <w:szCs w:val="24"/>
        </w:rPr>
        <w:t>ambicionan coadyuvar a la seguridad de las operaciones celebradas en el tráfico jurídico y en las que se vea inmersa la pareja</w:t>
      </w:r>
      <w:r w:rsidRPr="006730E3">
        <w:rPr>
          <w:rFonts w:ascii="Calibri" w:hAnsi="Calibri" w:cs="Times New Roman"/>
          <w:sz w:val="24"/>
          <w:szCs w:val="24"/>
        </w:rPr>
        <w:t xml:space="preserve">. </w:t>
      </w:r>
      <w:r w:rsidR="00A41384" w:rsidRPr="006730E3">
        <w:rPr>
          <w:rFonts w:ascii="Calibri" w:hAnsi="Calibri" w:cs="Times New Roman"/>
          <w:sz w:val="24"/>
          <w:szCs w:val="24"/>
        </w:rPr>
        <w:t>Las personas físicas o jurídicas que</w:t>
      </w:r>
      <w:r w:rsidR="003F0AA9" w:rsidRPr="006730E3">
        <w:rPr>
          <w:rFonts w:ascii="Calibri" w:hAnsi="Calibri" w:cs="Times New Roman"/>
          <w:sz w:val="24"/>
          <w:szCs w:val="24"/>
        </w:rPr>
        <w:t xml:space="preserve"> hayan celebrado o vayan a celebrar contratos con alguno o los dos miembros de la pareja tendrán interés en conocer cuál es el </w:t>
      </w:r>
      <w:r w:rsidR="003F0AA9" w:rsidRPr="006730E3">
        <w:rPr>
          <w:rFonts w:ascii="Calibri" w:hAnsi="Calibri" w:cs="Times New Roman"/>
          <w:i/>
          <w:sz w:val="24"/>
          <w:szCs w:val="24"/>
        </w:rPr>
        <w:t>status</w:t>
      </w:r>
      <w:r w:rsidR="003F0AA9" w:rsidRPr="006730E3">
        <w:rPr>
          <w:rFonts w:ascii="Calibri" w:hAnsi="Calibri" w:cs="Times New Roman"/>
          <w:sz w:val="24"/>
          <w:szCs w:val="24"/>
        </w:rPr>
        <w:t xml:space="preserve"> de la </w:t>
      </w:r>
      <w:r w:rsidR="00A41384" w:rsidRPr="006730E3">
        <w:rPr>
          <w:rFonts w:ascii="Calibri" w:hAnsi="Calibri" w:cs="Times New Roman"/>
          <w:sz w:val="24"/>
          <w:szCs w:val="24"/>
        </w:rPr>
        <w:t>misma</w:t>
      </w:r>
      <w:r w:rsidRPr="006730E3">
        <w:rPr>
          <w:rFonts w:ascii="Calibri" w:hAnsi="Calibri" w:cs="Times New Roman"/>
          <w:sz w:val="24"/>
          <w:szCs w:val="24"/>
        </w:rPr>
        <w:t>,</w:t>
      </w:r>
      <w:r w:rsidR="003F0AA9" w:rsidRPr="006730E3">
        <w:rPr>
          <w:rFonts w:ascii="Calibri" w:hAnsi="Calibri" w:cs="Times New Roman"/>
          <w:sz w:val="24"/>
          <w:szCs w:val="24"/>
        </w:rPr>
        <w:t xml:space="preserve"> así como las normas que rigen sus relaciones pa</w:t>
      </w:r>
      <w:r w:rsidR="00C061B6" w:rsidRPr="006730E3">
        <w:rPr>
          <w:rFonts w:ascii="Calibri" w:hAnsi="Calibri" w:cs="Times New Roman"/>
          <w:sz w:val="24"/>
          <w:szCs w:val="24"/>
        </w:rPr>
        <w:t>trimoniales y sus bienes. Creemos que estos son algunos de los tipos de interés en los que piensa el RPHG para acordar la emisión de certificaciones. Las solicitudes de estas personas</w:t>
      </w:r>
      <w:r w:rsidR="00A41384" w:rsidRPr="006730E3">
        <w:rPr>
          <w:rFonts w:ascii="Calibri" w:hAnsi="Calibri" w:cs="Times New Roman"/>
          <w:sz w:val="24"/>
          <w:szCs w:val="24"/>
        </w:rPr>
        <w:t xml:space="preserve"> buscaran precisamente obtener </w:t>
      </w:r>
      <w:r w:rsidR="00C061B6" w:rsidRPr="006730E3">
        <w:rPr>
          <w:rFonts w:ascii="Calibri" w:hAnsi="Calibri" w:cs="Times New Roman"/>
          <w:sz w:val="24"/>
          <w:szCs w:val="24"/>
        </w:rPr>
        <w:t xml:space="preserve">la </w:t>
      </w:r>
      <w:r w:rsidR="00A41384" w:rsidRPr="006730E3">
        <w:rPr>
          <w:rFonts w:ascii="Calibri" w:hAnsi="Calibri" w:cs="Times New Roman"/>
          <w:sz w:val="24"/>
          <w:szCs w:val="24"/>
        </w:rPr>
        <w:t>seguridad jurídica</w:t>
      </w:r>
      <w:r w:rsidR="00C26194" w:rsidRPr="006730E3">
        <w:rPr>
          <w:rFonts w:ascii="Calibri" w:hAnsi="Calibri" w:cs="Times New Roman"/>
          <w:sz w:val="24"/>
          <w:szCs w:val="24"/>
        </w:rPr>
        <w:t xml:space="preserve"> que la regulación gallega</w:t>
      </w:r>
      <w:r w:rsidR="00C26194" w:rsidRPr="006730E3">
        <w:rPr>
          <w:rStyle w:val="Refdenotaalpie"/>
          <w:rFonts w:ascii="Calibri" w:hAnsi="Calibri" w:cs="Times New Roman"/>
          <w:sz w:val="24"/>
          <w:szCs w:val="24"/>
        </w:rPr>
        <w:t xml:space="preserve"> </w:t>
      </w:r>
      <w:r w:rsidR="00C26194" w:rsidRPr="006730E3">
        <w:rPr>
          <w:rFonts w:ascii="Calibri" w:hAnsi="Calibri" w:cs="Times New Roman"/>
          <w:sz w:val="24"/>
          <w:szCs w:val="24"/>
        </w:rPr>
        <w:t>aparentemente les ofrece</w:t>
      </w:r>
      <w:r w:rsidR="00A41384" w:rsidRPr="006730E3">
        <w:rPr>
          <w:rStyle w:val="Refdenotaalpie"/>
          <w:rFonts w:ascii="Calibri" w:hAnsi="Calibri" w:cs="Times New Roman"/>
          <w:sz w:val="24"/>
          <w:szCs w:val="24"/>
        </w:rPr>
        <w:footnoteReference w:id="113"/>
      </w:r>
      <w:r w:rsidR="00C061B6" w:rsidRPr="006730E3">
        <w:rPr>
          <w:rFonts w:ascii="Calibri" w:hAnsi="Calibri" w:cs="Times New Roman"/>
          <w:sz w:val="24"/>
          <w:szCs w:val="24"/>
        </w:rPr>
        <w:t>; de ahí que podamos encontrar pronunciamiento como el de la SAP de Ourense</w:t>
      </w:r>
      <w:r w:rsidR="000229A3" w:rsidRPr="006730E3">
        <w:rPr>
          <w:rFonts w:ascii="Calibri" w:hAnsi="Calibri" w:cs="Times New Roman"/>
          <w:sz w:val="24"/>
          <w:szCs w:val="24"/>
        </w:rPr>
        <w:t>,</w:t>
      </w:r>
      <w:r w:rsidR="00C061B6" w:rsidRPr="006730E3">
        <w:rPr>
          <w:rFonts w:ascii="Calibri" w:hAnsi="Calibri" w:cs="Times New Roman"/>
          <w:sz w:val="24"/>
          <w:szCs w:val="24"/>
        </w:rPr>
        <w:t xml:space="preserve"> de 10 de noviembre de </w:t>
      </w:r>
      <w:r w:rsidR="00C061B6" w:rsidRPr="006730E3">
        <w:rPr>
          <w:rFonts w:ascii="Calibri" w:hAnsi="Calibri" w:cs="Times New Roman"/>
          <w:sz w:val="24"/>
          <w:szCs w:val="24"/>
        </w:rPr>
        <w:lastRenderedPageBreak/>
        <w:t>2017</w:t>
      </w:r>
      <w:r w:rsidR="000229A3" w:rsidRPr="006730E3">
        <w:rPr>
          <w:rFonts w:ascii="Calibri" w:hAnsi="Calibri" w:cs="Times New Roman"/>
          <w:sz w:val="24"/>
          <w:szCs w:val="24"/>
        </w:rPr>
        <w:t>,</w:t>
      </w:r>
      <w:r w:rsidR="00C061B6" w:rsidRPr="006730E3">
        <w:rPr>
          <w:rFonts w:ascii="Calibri" w:hAnsi="Calibri" w:cs="Times New Roman"/>
          <w:sz w:val="24"/>
          <w:szCs w:val="24"/>
        </w:rPr>
        <w:t xml:space="preserve"> según la cual «</w:t>
      </w:r>
      <w:r w:rsidR="000229A3" w:rsidRPr="006730E3">
        <w:rPr>
          <w:rFonts w:ascii="Calibri" w:hAnsi="Calibri" w:cs="Times New Roman"/>
          <w:sz w:val="24"/>
          <w:szCs w:val="24"/>
        </w:rPr>
        <w:t>los efectos consiguientes a dicha inscripción [en el RPHG] no son solo de publicidad frente a terceros, sino sustantivos</w:t>
      </w:r>
      <w:r w:rsidR="00C061B6" w:rsidRPr="006730E3">
        <w:rPr>
          <w:rFonts w:ascii="Calibri" w:hAnsi="Calibri" w:cs="Times New Roman"/>
          <w:sz w:val="24"/>
          <w:szCs w:val="24"/>
        </w:rPr>
        <w:t>»</w:t>
      </w:r>
      <w:r w:rsidR="000229A3" w:rsidRPr="006730E3">
        <w:rPr>
          <w:rStyle w:val="Refdenotaalpie"/>
          <w:rFonts w:ascii="Calibri" w:hAnsi="Calibri" w:cs="Times New Roman"/>
          <w:sz w:val="24"/>
          <w:szCs w:val="24"/>
        </w:rPr>
        <w:footnoteReference w:id="114"/>
      </w:r>
      <w:r w:rsidR="000229A3" w:rsidRPr="006730E3">
        <w:rPr>
          <w:rFonts w:ascii="Calibri" w:hAnsi="Calibri" w:cs="Times New Roman"/>
          <w:sz w:val="24"/>
          <w:szCs w:val="24"/>
        </w:rPr>
        <w:t>.</w:t>
      </w:r>
    </w:p>
    <w:p w:rsidR="00847D32" w:rsidRPr="006730E3" w:rsidRDefault="00A41384" w:rsidP="00416B3A">
      <w:pPr>
        <w:spacing w:line="312" w:lineRule="auto"/>
        <w:jc w:val="both"/>
        <w:rPr>
          <w:rFonts w:ascii="Calibri" w:hAnsi="Calibri" w:cs="Times New Roman"/>
          <w:sz w:val="24"/>
          <w:szCs w:val="24"/>
        </w:rPr>
      </w:pPr>
      <w:r w:rsidRPr="006730E3">
        <w:rPr>
          <w:rFonts w:ascii="Calibri" w:hAnsi="Calibri" w:cs="Times New Roman"/>
          <w:sz w:val="24"/>
          <w:szCs w:val="24"/>
        </w:rPr>
        <w:t>Sin embargo,</w:t>
      </w:r>
      <w:r w:rsidR="000229A3" w:rsidRPr="006730E3">
        <w:rPr>
          <w:rFonts w:ascii="Calibri" w:hAnsi="Calibri" w:cs="Times New Roman"/>
          <w:sz w:val="24"/>
          <w:szCs w:val="24"/>
        </w:rPr>
        <w:t xml:space="preserve"> esto no puede ser afirmado con tanta generalidad</w:t>
      </w:r>
      <w:r w:rsidRPr="006730E3">
        <w:rPr>
          <w:rFonts w:ascii="Calibri" w:hAnsi="Calibri" w:cs="Times New Roman"/>
          <w:sz w:val="24"/>
          <w:szCs w:val="24"/>
        </w:rPr>
        <w:t xml:space="preserve"> </w:t>
      </w:r>
      <w:r w:rsidR="000229A3" w:rsidRPr="006730E3">
        <w:rPr>
          <w:rFonts w:ascii="Calibri" w:hAnsi="Calibri" w:cs="Times New Roman"/>
          <w:sz w:val="24"/>
          <w:szCs w:val="24"/>
        </w:rPr>
        <w:t>pues la regulación gallega</w:t>
      </w:r>
      <w:r w:rsidRPr="006730E3">
        <w:rPr>
          <w:rFonts w:ascii="Calibri" w:hAnsi="Calibri" w:cs="Times New Roman"/>
          <w:sz w:val="24"/>
          <w:szCs w:val="24"/>
        </w:rPr>
        <w:t xml:space="preserve">, como no podría ser de otra forma, se </w:t>
      </w:r>
      <w:r w:rsidR="004F4C58" w:rsidRPr="006730E3">
        <w:rPr>
          <w:rFonts w:ascii="Calibri" w:hAnsi="Calibri" w:cs="Times New Roman"/>
          <w:sz w:val="24"/>
          <w:szCs w:val="24"/>
        </w:rPr>
        <w:t xml:space="preserve">queda </w:t>
      </w:r>
      <w:r w:rsidRPr="006730E3">
        <w:rPr>
          <w:rFonts w:ascii="Calibri" w:hAnsi="Calibri" w:cs="Times New Roman"/>
          <w:sz w:val="24"/>
          <w:szCs w:val="24"/>
        </w:rPr>
        <w:t xml:space="preserve">corta. Un registro </w:t>
      </w:r>
      <w:r w:rsidR="000327D9" w:rsidRPr="006730E3">
        <w:rPr>
          <w:rFonts w:ascii="Calibri" w:hAnsi="Calibri" w:cs="Times New Roman"/>
          <w:sz w:val="24"/>
          <w:szCs w:val="24"/>
        </w:rPr>
        <w:t xml:space="preserve">que produzca efectos con trascendencia en las relaciones entre particulares </w:t>
      </w:r>
      <w:r w:rsidRPr="006730E3">
        <w:rPr>
          <w:rFonts w:ascii="Calibri" w:hAnsi="Calibri" w:cs="Times New Roman"/>
          <w:sz w:val="24"/>
          <w:szCs w:val="24"/>
        </w:rPr>
        <w:t>no sólo debe procurar una determinada publicidad y vías de acceso para que terceros accedan a su con</w:t>
      </w:r>
      <w:r w:rsidR="00957C79" w:rsidRPr="006730E3">
        <w:rPr>
          <w:rFonts w:ascii="Calibri" w:hAnsi="Calibri" w:cs="Times New Roman"/>
          <w:sz w:val="24"/>
          <w:szCs w:val="24"/>
        </w:rPr>
        <w:t>tenido y sean conscientes de los efectos civiles que producen</w:t>
      </w:r>
      <w:r w:rsidR="00957C79" w:rsidRPr="006730E3">
        <w:rPr>
          <w:rStyle w:val="Refdenotaalpie"/>
          <w:rFonts w:ascii="Calibri" w:hAnsi="Calibri" w:cs="Times New Roman"/>
          <w:sz w:val="24"/>
          <w:szCs w:val="24"/>
        </w:rPr>
        <w:footnoteReference w:id="115"/>
      </w:r>
      <w:r w:rsidR="00957C79" w:rsidRPr="006730E3">
        <w:rPr>
          <w:rFonts w:ascii="Calibri" w:hAnsi="Calibri" w:cs="Times New Roman"/>
          <w:sz w:val="24"/>
          <w:szCs w:val="24"/>
        </w:rPr>
        <w:t>. Su virtualidad, más allá del acceso efectivo que los interesados puedan realizar en el caso concreto, reside en la declaración legal sobre</w:t>
      </w:r>
      <w:r w:rsidR="00152C1A" w:rsidRPr="006730E3">
        <w:rPr>
          <w:rFonts w:ascii="Calibri" w:hAnsi="Calibri" w:cs="Times New Roman"/>
          <w:sz w:val="24"/>
          <w:szCs w:val="24"/>
        </w:rPr>
        <w:t xml:space="preserve"> la</w:t>
      </w:r>
      <w:r w:rsidR="00957C79" w:rsidRPr="006730E3">
        <w:rPr>
          <w:rFonts w:ascii="Calibri" w:hAnsi="Calibri" w:cs="Times New Roman"/>
          <w:sz w:val="24"/>
          <w:szCs w:val="24"/>
        </w:rPr>
        <w:t xml:space="preserve"> </w:t>
      </w:r>
      <w:proofErr w:type="spellStart"/>
      <w:r w:rsidR="00957C79" w:rsidRPr="006730E3">
        <w:rPr>
          <w:rFonts w:ascii="Calibri" w:hAnsi="Calibri" w:cs="Times New Roman"/>
          <w:sz w:val="24"/>
          <w:szCs w:val="24"/>
        </w:rPr>
        <w:t>cognoscibilidad</w:t>
      </w:r>
      <w:proofErr w:type="spellEnd"/>
      <w:r w:rsidR="00957C79" w:rsidRPr="006730E3">
        <w:rPr>
          <w:rFonts w:ascii="Calibri" w:hAnsi="Calibri" w:cs="Times New Roman"/>
          <w:sz w:val="24"/>
          <w:szCs w:val="24"/>
        </w:rPr>
        <w:t xml:space="preserve"> de su contenido</w:t>
      </w:r>
      <w:r w:rsidR="00957C79" w:rsidRPr="006730E3">
        <w:rPr>
          <w:rStyle w:val="Refdenotaalpie"/>
          <w:rFonts w:ascii="Calibri" w:hAnsi="Calibri" w:cs="Times New Roman"/>
          <w:sz w:val="24"/>
          <w:szCs w:val="24"/>
        </w:rPr>
        <w:footnoteReference w:id="116"/>
      </w:r>
      <w:r w:rsidR="00957C79" w:rsidRPr="006730E3">
        <w:rPr>
          <w:rFonts w:ascii="Calibri" w:hAnsi="Calibri" w:cs="Times New Roman"/>
          <w:sz w:val="24"/>
          <w:szCs w:val="24"/>
        </w:rPr>
        <w:t>.</w:t>
      </w:r>
      <w:r w:rsidR="004F4C58" w:rsidRPr="006730E3">
        <w:rPr>
          <w:rFonts w:ascii="Calibri" w:hAnsi="Calibri" w:cs="Times New Roman"/>
          <w:sz w:val="24"/>
          <w:szCs w:val="24"/>
        </w:rPr>
        <w:t xml:space="preserve"> Pero l</w:t>
      </w:r>
      <w:r w:rsidR="00957C79" w:rsidRPr="006730E3">
        <w:rPr>
          <w:rFonts w:ascii="Calibri" w:hAnsi="Calibri" w:cs="Times New Roman"/>
          <w:sz w:val="24"/>
          <w:szCs w:val="24"/>
        </w:rPr>
        <w:t>a regulación del RPHG no contiene ninguna declaración conforme a la cual</w:t>
      </w:r>
      <w:r w:rsidR="004F4C58" w:rsidRPr="006730E3">
        <w:rPr>
          <w:rFonts w:ascii="Calibri" w:hAnsi="Calibri" w:cs="Times New Roman"/>
          <w:sz w:val="24"/>
          <w:szCs w:val="24"/>
        </w:rPr>
        <w:t xml:space="preserve"> </w:t>
      </w:r>
      <w:r w:rsidR="00DA3DEE" w:rsidRPr="006730E3">
        <w:rPr>
          <w:rFonts w:ascii="Calibri" w:hAnsi="Calibri" w:cs="Times New Roman"/>
          <w:sz w:val="24"/>
          <w:szCs w:val="24"/>
        </w:rPr>
        <w:t xml:space="preserve">lo inscrito en el mismo sea oponible a terceros </w:t>
      </w:r>
      <w:r w:rsidR="00784C81" w:rsidRPr="006730E3">
        <w:rPr>
          <w:rFonts w:ascii="Calibri" w:hAnsi="Calibri" w:cs="Times New Roman"/>
          <w:sz w:val="24"/>
          <w:szCs w:val="24"/>
        </w:rPr>
        <w:t xml:space="preserve">por el hecho de su mera </w:t>
      </w:r>
      <w:r w:rsidR="00D5436E" w:rsidRPr="006730E3">
        <w:rPr>
          <w:rFonts w:ascii="Calibri" w:hAnsi="Calibri" w:cs="Times New Roman"/>
          <w:sz w:val="24"/>
          <w:szCs w:val="24"/>
        </w:rPr>
        <w:t xml:space="preserve">inscripción y </w:t>
      </w:r>
      <w:r w:rsidR="00784C81" w:rsidRPr="006730E3">
        <w:rPr>
          <w:rFonts w:ascii="Calibri" w:hAnsi="Calibri" w:cs="Times New Roman"/>
          <w:sz w:val="24"/>
          <w:szCs w:val="24"/>
        </w:rPr>
        <w:t>accesibilidad</w:t>
      </w:r>
      <w:r w:rsidR="00152C1A" w:rsidRPr="006730E3">
        <w:rPr>
          <w:rFonts w:ascii="Calibri" w:hAnsi="Calibri" w:cs="Times New Roman"/>
          <w:sz w:val="24"/>
          <w:szCs w:val="24"/>
        </w:rPr>
        <w:t>; en otro caso</w:t>
      </w:r>
      <w:r w:rsidR="004F4C58" w:rsidRPr="006730E3">
        <w:rPr>
          <w:rFonts w:ascii="Calibri" w:hAnsi="Calibri" w:cs="Times New Roman"/>
          <w:sz w:val="24"/>
          <w:szCs w:val="24"/>
        </w:rPr>
        <w:t>, ello sería un dato más que mostraría la inconstitucionalidad de este sistema registral.</w:t>
      </w:r>
      <w:r w:rsidR="00152C1A" w:rsidRPr="006730E3">
        <w:rPr>
          <w:rFonts w:ascii="Calibri" w:hAnsi="Calibri" w:cs="Times New Roman"/>
          <w:sz w:val="24"/>
          <w:szCs w:val="24"/>
        </w:rPr>
        <w:t xml:space="preserve"> Por todo ello, descartamos su </w:t>
      </w:r>
      <w:r w:rsidR="00DA3DEE" w:rsidRPr="006730E3">
        <w:rPr>
          <w:rFonts w:ascii="Calibri" w:hAnsi="Calibri" w:cs="Times New Roman"/>
          <w:sz w:val="24"/>
          <w:szCs w:val="24"/>
        </w:rPr>
        <w:t>eficacia</w:t>
      </w:r>
      <w:r w:rsidR="00152C1A" w:rsidRPr="006730E3">
        <w:rPr>
          <w:rFonts w:ascii="Calibri" w:hAnsi="Calibri" w:cs="Times New Roman"/>
          <w:sz w:val="24"/>
          <w:szCs w:val="24"/>
        </w:rPr>
        <w:t xml:space="preserve"> </w:t>
      </w:r>
      <w:r w:rsidR="00152C1A" w:rsidRPr="006730E3">
        <w:rPr>
          <w:rFonts w:ascii="Calibri" w:hAnsi="Calibri" w:cs="Times New Roman"/>
          <w:i/>
          <w:sz w:val="24"/>
          <w:szCs w:val="24"/>
        </w:rPr>
        <w:t>erga omnes</w:t>
      </w:r>
      <w:r w:rsidR="00847D32" w:rsidRPr="006730E3">
        <w:rPr>
          <w:rFonts w:ascii="Calibri" w:hAnsi="Calibri" w:cs="Times New Roman"/>
          <w:sz w:val="24"/>
          <w:szCs w:val="24"/>
        </w:rPr>
        <w:t>.</w:t>
      </w:r>
    </w:p>
    <w:p w:rsidR="00130FAC" w:rsidRPr="006730E3" w:rsidRDefault="0091121E"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A los </w:t>
      </w:r>
      <w:r w:rsidR="000168C6">
        <w:rPr>
          <w:rFonts w:ascii="Calibri" w:hAnsi="Calibri" w:cs="Times New Roman"/>
          <w:sz w:val="24"/>
          <w:szCs w:val="24"/>
        </w:rPr>
        <w:t>miembros de la pareja</w:t>
      </w:r>
      <w:r w:rsidRPr="006730E3">
        <w:rPr>
          <w:rFonts w:ascii="Calibri" w:hAnsi="Calibri" w:cs="Times New Roman"/>
          <w:sz w:val="24"/>
          <w:szCs w:val="24"/>
        </w:rPr>
        <w:t xml:space="preserve"> sólo les quedará, bien recurrir a otros sistemas que garanticen la publicidad y </w:t>
      </w:r>
      <w:proofErr w:type="spellStart"/>
      <w:r w:rsidRPr="006730E3">
        <w:rPr>
          <w:rFonts w:ascii="Calibri" w:hAnsi="Calibri" w:cs="Times New Roman"/>
          <w:sz w:val="24"/>
          <w:szCs w:val="24"/>
        </w:rPr>
        <w:t>oponibilidad</w:t>
      </w:r>
      <w:proofErr w:type="spellEnd"/>
      <w:r w:rsidRPr="006730E3">
        <w:rPr>
          <w:rFonts w:ascii="Calibri" w:hAnsi="Calibri" w:cs="Times New Roman"/>
          <w:sz w:val="24"/>
          <w:szCs w:val="24"/>
        </w:rPr>
        <w:t xml:space="preserve"> frente a terceros de su régimen económico</w:t>
      </w:r>
      <w:r w:rsidR="00F00370" w:rsidRPr="006730E3">
        <w:rPr>
          <w:rFonts w:ascii="Calibri" w:hAnsi="Calibri" w:cs="Times New Roman"/>
          <w:sz w:val="24"/>
          <w:szCs w:val="24"/>
        </w:rPr>
        <w:t xml:space="preserve"> legal o pactado</w:t>
      </w:r>
      <w:r w:rsidRPr="006730E3">
        <w:rPr>
          <w:rFonts w:ascii="Calibri" w:hAnsi="Calibri" w:cs="Times New Roman"/>
          <w:sz w:val="24"/>
          <w:szCs w:val="24"/>
        </w:rPr>
        <w:t>, bien proceder a publicitar ellos la existencia de tales pactos.</w:t>
      </w:r>
    </w:p>
    <w:p w:rsidR="00F601A7" w:rsidRPr="006730E3" w:rsidRDefault="0091121E"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Con relación a </w:t>
      </w:r>
      <w:r w:rsidR="00F00370" w:rsidRPr="006730E3">
        <w:rPr>
          <w:rFonts w:ascii="Calibri" w:hAnsi="Calibri" w:cs="Times New Roman"/>
          <w:sz w:val="24"/>
          <w:szCs w:val="24"/>
        </w:rPr>
        <w:t>lo primero,</w:t>
      </w:r>
      <w:r w:rsidR="0045574E" w:rsidRPr="006730E3">
        <w:rPr>
          <w:rFonts w:ascii="Calibri" w:hAnsi="Calibri" w:cs="Times New Roman"/>
          <w:sz w:val="24"/>
          <w:szCs w:val="24"/>
        </w:rPr>
        <w:t xml:space="preserve"> y no pudiendo acceder actualmente al RC la constitución de las parejas de hecho, sólo cabe</w:t>
      </w:r>
      <w:r w:rsidR="00F00370" w:rsidRPr="006730E3">
        <w:rPr>
          <w:rFonts w:ascii="Calibri" w:hAnsi="Calibri" w:cs="Times New Roman"/>
          <w:sz w:val="24"/>
          <w:szCs w:val="24"/>
        </w:rPr>
        <w:t xml:space="preserve"> plantea</w:t>
      </w:r>
      <w:r w:rsidR="0045574E" w:rsidRPr="006730E3">
        <w:rPr>
          <w:rFonts w:ascii="Calibri" w:hAnsi="Calibri" w:cs="Times New Roman"/>
          <w:sz w:val="24"/>
          <w:szCs w:val="24"/>
        </w:rPr>
        <w:t>r</w:t>
      </w:r>
      <w:r w:rsidR="00F00370" w:rsidRPr="006730E3">
        <w:rPr>
          <w:rFonts w:ascii="Calibri" w:hAnsi="Calibri" w:cs="Times New Roman"/>
          <w:sz w:val="24"/>
          <w:szCs w:val="24"/>
        </w:rPr>
        <w:t xml:space="preserve"> la posibilidad de </w:t>
      </w:r>
      <w:r w:rsidR="00107C82" w:rsidRPr="006730E3">
        <w:rPr>
          <w:rFonts w:ascii="Calibri" w:hAnsi="Calibri" w:cs="Times New Roman"/>
          <w:sz w:val="24"/>
          <w:szCs w:val="24"/>
        </w:rPr>
        <w:t>expresar</w:t>
      </w:r>
      <w:r w:rsidR="00F00370" w:rsidRPr="006730E3">
        <w:rPr>
          <w:rFonts w:ascii="Calibri" w:hAnsi="Calibri" w:cs="Times New Roman"/>
          <w:sz w:val="24"/>
          <w:szCs w:val="24"/>
        </w:rPr>
        <w:t xml:space="preserve">, en el caso de la inscripción de bienes inmuebles </w:t>
      </w:r>
      <w:r w:rsidR="006001E3" w:rsidRPr="006730E3">
        <w:rPr>
          <w:rFonts w:ascii="Calibri" w:hAnsi="Calibri" w:cs="Times New Roman"/>
          <w:sz w:val="24"/>
          <w:szCs w:val="24"/>
        </w:rPr>
        <w:t>en el RP</w:t>
      </w:r>
      <w:r w:rsidR="00F00370" w:rsidRPr="006730E3">
        <w:rPr>
          <w:rFonts w:ascii="Calibri" w:hAnsi="Calibri" w:cs="Times New Roman"/>
          <w:sz w:val="24"/>
          <w:szCs w:val="24"/>
        </w:rPr>
        <w:t>, el régimen económico que lo regula.</w:t>
      </w:r>
      <w:r w:rsidR="00107C82" w:rsidRPr="006730E3">
        <w:rPr>
          <w:rFonts w:ascii="Calibri" w:hAnsi="Calibri" w:cs="Times New Roman"/>
          <w:sz w:val="24"/>
          <w:szCs w:val="24"/>
        </w:rPr>
        <w:t xml:space="preserve"> Según el art. 51.9ª</w:t>
      </w:r>
      <w:r w:rsidR="0045574E" w:rsidRPr="006730E3">
        <w:rPr>
          <w:rFonts w:ascii="Calibri" w:hAnsi="Calibri" w:cs="Times New Roman"/>
          <w:sz w:val="24"/>
          <w:szCs w:val="24"/>
        </w:rPr>
        <w:t>.</w:t>
      </w:r>
      <w:r w:rsidR="00107C82" w:rsidRPr="006730E3">
        <w:rPr>
          <w:rFonts w:ascii="Calibri" w:hAnsi="Calibri" w:cs="Times New Roman"/>
          <w:sz w:val="24"/>
          <w:szCs w:val="24"/>
        </w:rPr>
        <w:t>a) del Decreto de 14 de febrero de 1947 por el que se aprueba el Reglamento Hipotecario, de la persona a cuyo favor se practique</w:t>
      </w:r>
      <w:r w:rsidR="000168C6">
        <w:rPr>
          <w:rFonts w:ascii="Calibri" w:hAnsi="Calibri" w:cs="Times New Roman"/>
          <w:sz w:val="24"/>
          <w:szCs w:val="24"/>
        </w:rPr>
        <w:t xml:space="preserve"> la inscripción, «se expresará […]</w:t>
      </w:r>
      <w:r w:rsidR="00107C82" w:rsidRPr="006730E3">
        <w:rPr>
          <w:rFonts w:ascii="Calibri" w:hAnsi="Calibri" w:cs="Times New Roman"/>
          <w:sz w:val="24"/>
          <w:szCs w:val="24"/>
        </w:rPr>
        <w:t xml:space="preserve"> </w:t>
      </w:r>
      <w:r w:rsidR="00107C82" w:rsidRPr="006730E3">
        <w:rPr>
          <w:rFonts w:ascii="Calibri" w:hAnsi="Calibri" w:cs="Times New Roman"/>
          <w:sz w:val="24"/>
          <w:szCs w:val="24"/>
          <w:shd w:val="clear" w:color="auto" w:fill="FFFFFF"/>
        </w:rPr>
        <w:t>si el sujeto es soltero, casado, viudo, separado o divorciado y, de ser casado y afectar el acto o contrato que se inscriba a los derechos presentes o futuros de la sociedad conyugal, el régimen económico matrimonial y el nombre y apellidos y domicilio del otro cónyuge</w:t>
      </w:r>
      <w:r w:rsidR="000168C6">
        <w:rPr>
          <w:rFonts w:ascii="Calibri" w:hAnsi="Calibri" w:cs="Times New Roman"/>
          <w:sz w:val="24"/>
          <w:szCs w:val="24"/>
        </w:rPr>
        <w:t xml:space="preserve"> […]</w:t>
      </w:r>
      <w:r w:rsidR="00107C82" w:rsidRPr="006730E3">
        <w:rPr>
          <w:rFonts w:ascii="Calibri" w:hAnsi="Calibri" w:cs="Times New Roman"/>
          <w:sz w:val="24"/>
          <w:szCs w:val="24"/>
        </w:rPr>
        <w:t>»</w:t>
      </w:r>
      <w:r w:rsidR="0045574E" w:rsidRPr="006730E3">
        <w:rPr>
          <w:rFonts w:ascii="Calibri" w:hAnsi="Calibri" w:cs="Times New Roman"/>
          <w:sz w:val="24"/>
          <w:szCs w:val="24"/>
        </w:rPr>
        <w:t xml:space="preserve">; precepto que, entre otros, pretenden asegurar </w:t>
      </w:r>
      <w:r w:rsidR="00130FAC" w:rsidRPr="006730E3">
        <w:rPr>
          <w:rFonts w:ascii="Calibri" w:hAnsi="Calibri" w:cs="Times New Roman"/>
          <w:sz w:val="24"/>
          <w:szCs w:val="24"/>
        </w:rPr>
        <w:t>un cauce</w:t>
      </w:r>
      <w:r w:rsidR="0045574E" w:rsidRPr="006730E3">
        <w:rPr>
          <w:rFonts w:ascii="Calibri" w:hAnsi="Calibri" w:cs="Times New Roman"/>
          <w:sz w:val="24"/>
          <w:szCs w:val="24"/>
        </w:rPr>
        <w:t xml:space="preserve"> coordinación entre el RC y el RP</w:t>
      </w:r>
      <w:r w:rsidR="00130FAC" w:rsidRPr="006730E3">
        <w:rPr>
          <w:rFonts w:ascii="Calibri" w:hAnsi="Calibri" w:cs="Times New Roman"/>
          <w:sz w:val="24"/>
          <w:szCs w:val="24"/>
        </w:rPr>
        <w:t>. Si bien es cierto que dicho cauce de coordinación no está regulado expresamente entre el RPHG y el RP</w:t>
      </w:r>
      <w:r w:rsidR="0045574E" w:rsidRPr="006730E3">
        <w:rPr>
          <w:rStyle w:val="Refdenotaalpie"/>
          <w:rFonts w:ascii="Calibri" w:hAnsi="Calibri" w:cs="Times New Roman"/>
          <w:sz w:val="24"/>
          <w:szCs w:val="24"/>
        </w:rPr>
        <w:footnoteReference w:id="117"/>
      </w:r>
      <w:r w:rsidR="00130FAC" w:rsidRPr="006730E3">
        <w:rPr>
          <w:rFonts w:ascii="Calibri" w:hAnsi="Calibri" w:cs="Times New Roman"/>
          <w:sz w:val="24"/>
          <w:szCs w:val="24"/>
        </w:rPr>
        <w:t xml:space="preserve">, el cumplimiento de los requisitos de la DAT consagra una serie efectos </w:t>
      </w:r>
      <w:r w:rsidR="00EA6680" w:rsidRPr="006730E3">
        <w:rPr>
          <w:rFonts w:ascii="Calibri" w:hAnsi="Calibri" w:cs="Times New Roman"/>
          <w:sz w:val="24"/>
          <w:szCs w:val="24"/>
        </w:rPr>
        <w:t xml:space="preserve">que deben materializarse mediante la efectiva aplicación de la LDCG pues, como se ha dicho, ésta es una ley española vigente en todo el territorio español que vincula, como parte del </w:t>
      </w:r>
      <w:r w:rsidR="00EA6680" w:rsidRPr="006730E3">
        <w:rPr>
          <w:rFonts w:ascii="Calibri" w:hAnsi="Calibri" w:cs="Times New Roman"/>
          <w:sz w:val="24"/>
          <w:szCs w:val="24"/>
        </w:rPr>
        <w:lastRenderedPageBreak/>
        <w:t>ordenamiento jurídico, a todos los poderes públicos</w:t>
      </w:r>
      <w:r w:rsidR="00EA6680" w:rsidRPr="006730E3">
        <w:rPr>
          <w:rStyle w:val="Refdenotaalpie"/>
          <w:rFonts w:ascii="Calibri" w:hAnsi="Calibri" w:cs="Times New Roman"/>
          <w:sz w:val="24"/>
          <w:szCs w:val="24"/>
        </w:rPr>
        <w:footnoteReference w:id="118"/>
      </w:r>
      <w:r w:rsidR="00EA6680" w:rsidRPr="006730E3">
        <w:rPr>
          <w:rFonts w:ascii="Calibri" w:hAnsi="Calibri" w:cs="Times New Roman"/>
          <w:sz w:val="24"/>
          <w:szCs w:val="24"/>
        </w:rPr>
        <w:t xml:space="preserve">. Así las cosas, consideramos que el precepto se debe aplicar, </w:t>
      </w:r>
      <w:r w:rsidR="00EA6680" w:rsidRPr="006730E3">
        <w:rPr>
          <w:rFonts w:ascii="Calibri" w:hAnsi="Calibri" w:cs="Times New Roman"/>
          <w:i/>
          <w:sz w:val="24"/>
          <w:szCs w:val="24"/>
        </w:rPr>
        <w:t>mutatis mutandis</w:t>
      </w:r>
      <w:r w:rsidR="00EA6680" w:rsidRPr="006730E3">
        <w:rPr>
          <w:rFonts w:ascii="Calibri" w:hAnsi="Calibri" w:cs="Times New Roman"/>
          <w:sz w:val="24"/>
          <w:szCs w:val="24"/>
        </w:rPr>
        <w:t>, a la parej</w:t>
      </w:r>
      <w:r w:rsidR="00CC54E9" w:rsidRPr="006730E3">
        <w:rPr>
          <w:rFonts w:ascii="Calibri" w:hAnsi="Calibri" w:cs="Times New Roman"/>
          <w:sz w:val="24"/>
          <w:szCs w:val="24"/>
        </w:rPr>
        <w:t>a de la DAT de forma que en el RP const</w:t>
      </w:r>
      <w:r w:rsidR="00EA6680" w:rsidRPr="006730E3">
        <w:rPr>
          <w:rFonts w:ascii="Calibri" w:hAnsi="Calibri" w:cs="Times New Roman"/>
          <w:sz w:val="24"/>
          <w:szCs w:val="24"/>
        </w:rPr>
        <w:t>e la sujeción del inmueble al régimen legal de gananciales o al diseñad</w:t>
      </w:r>
      <w:r w:rsidR="00CC54E9" w:rsidRPr="006730E3">
        <w:rPr>
          <w:rFonts w:ascii="Calibri" w:hAnsi="Calibri" w:cs="Times New Roman"/>
          <w:sz w:val="24"/>
          <w:szCs w:val="24"/>
        </w:rPr>
        <w:t>o</w:t>
      </w:r>
      <w:r w:rsidR="00EA6680" w:rsidRPr="006730E3">
        <w:rPr>
          <w:rFonts w:ascii="Calibri" w:hAnsi="Calibri" w:cs="Times New Roman"/>
          <w:sz w:val="24"/>
          <w:szCs w:val="24"/>
        </w:rPr>
        <w:t xml:space="preserve"> por la pareja. En este sentido, </w:t>
      </w:r>
      <w:r w:rsidR="00BE106F" w:rsidRPr="006730E3">
        <w:rPr>
          <w:rFonts w:ascii="Calibri" w:hAnsi="Calibri" w:cs="Times New Roman"/>
          <w:sz w:val="24"/>
          <w:szCs w:val="24"/>
        </w:rPr>
        <w:t>no debería ser impedimento para ello el</w:t>
      </w:r>
      <w:r w:rsidR="00EA6680" w:rsidRPr="006730E3">
        <w:rPr>
          <w:rFonts w:ascii="Calibri" w:hAnsi="Calibri" w:cs="Times New Roman"/>
          <w:sz w:val="24"/>
          <w:szCs w:val="24"/>
        </w:rPr>
        <w:t xml:space="preserve"> criterio</w:t>
      </w:r>
      <w:r w:rsidR="00CC54E9" w:rsidRPr="006730E3">
        <w:rPr>
          <w:rFonts w:ascii="Calibri" w:hAnsi="Calibri" w:cs="Times New Roman"/>
          <w:sz w:val="24"/>
          <w:szCs w:val="24"/>
        </w:rPr>
        <w:t xml:space="preserve"> de la ya mencionada RDGRN de 7 de febrero de 2013, y reiterado por la RDGRN de 25 de junio de 2018</w:t>
      </w:r>
      <w:r w:rsidR="00CC54E9" w:rsidRPr="006730E3">
        <w:rPr>
          <w:rStyle w:val="Refdenotaalpie"/>
          <w:rFonts w:ascii="Calibri" w:hAnsi="Calibri" w:cs="Times New Roman"/>
          <w:sz w:val="24"/>
          <w:szCs w:val="24"/>
        </w:rPr>
        <w:footnoteReference w:id="119"/>
      </w:r>
      <w:r w:rsidR="00CC54E9" w:rsidRPr="006730E3">
        <w:rPr>
          <w:rFonts w:ascii="Calibri" w:hAnsi="Calibri" w:cs="Times New Roman"/>
          <w:sz w:val="24"/>
          <w:szCs w:val="24"/>
        </w:rPr>
        <w:t>,</w:t>
      </w:r>
      <w:r w:rsidR="00EA6680" w:rsidRPr="006730E3">
        <w:rPr>
          <w:rFonts w:ascii="Calibri" w:hAnsi="Calibri" w:cs="Times New Roman"/>
          <w:sz w:val="24"/>
          <w:szCs w:val="24"/>
        </w:rPr>
        <w:t xml:space="preserve"> </w:t>
      </w:r>
      <w:r w:rsidR="00CC54E9" w:rsidRPr="006730E3">
        <w:rPr>
          <w:rFonts w:ascii="Calibri" w:hAnsi="Calibri" w:cs="Times New Roman"/>
          <w:sz w:val="24"/>
          <w:szCs w:val="24"/>
        </w:rPr>
        <w:t>contrario a la aplicación de la sociedad de gananciales a la pareja de hecho inscrita en un registro autonómico y, en consecuencia, a la inscripción en el RP de un inmueble con el carácter de gananci</w:t>
      </w:r>
      <w:r w:rsidR="00BE106F" w:rsidRPr="006730E3">
        <w:rPr>
          <w:rFonts w:ascii="Calibri" w:hAnsi="Calibri" w:cs="Times New Roman"/>
          <w:sz w:val="24"/>
          <w:szCs w:val="24"/>
        </w:rPr>
        <w:t xml:space="preserve">al. Si bien el análisis de </w:t>
      </w:r>
      <w:r w:rsidR="00F601A7" w:rsidRPr="006730E3">
        <w:rPr>
          <w:rFonts w:ascii="Calibri" w:hAnsi="Calibri" w:cs="Times New Roman"/>
          <w:sz w:val="24"/>
          <w:szCs w:val="24"/>
        </w:rPr>
        <w:t>las citadas</w:t>
      </w:r>
      <w:r w:rsidR="00BE106F" w:rsidRPr="006730E3">
        <w:rPr>
          <w:rFonts w:ascii="Calibri" w:hAnsi="Calibri" w:cs="Times New Roman"/>
          <w:sz w:val="24"/>
          <w:szCs w:val="24"/>
        </w:rPr>
        <w:t xml:space="preserve"> resoluciones excede de la finalidad de </w:t>
      </w:r>
      <w:r w:rsidR="00F601A7" w:rsidRPr="006730E3">
        <w:rPr>
          <w:rFonts w:ascii="Calibri" w:hAnsi="Calibri" w:cs="Times New Roman"/>
          <w:sz w:val="24"/>
          <w:szCs w:val="24"/>
        </w:rPr>
        <w:t>la presente</w:t>
      </w:r>
      <w:r w:rsidR="00BE106F" w:rsidRPr="006730E3">
        <w:rPr>
          <w:rFonts w:ascii="Calibri" w:hAnsi="Calibri" w:cs="Times New Roman"/>
          <w:sz w:val="24"/>
          <w:szCs w:val="24"/>
        </w:rPr>
        <w:t xml:space="preserve"> contribución, en nuestra opinión </w:t>
      </w:r>
      <w:r w:rsidR="00F601A7" w:rsidRPr="006730E3">
        <w:rPr>
          <w:rFonts w:ascii="Calibri" w:hAnsi="Calibri" w:cs="Times New Roman"/>
          <w:sz w:val="24"/>
          <w:szCs w:val="24"/>
        </w:rPr>
        <w:t>esta</w:t>
      </w:r>
      <w:r w:rsidR="00BE106F" w:rsidRPr="006730E3">
        <w:rPr>
          <w:rFonts w:ascii="Calibri" w:hAnsi="Calibri" w:cs="Times New Roman"/>
          <w:sz w:val="24"/>
          <w:szCs w:val="24"/>
        </w:rPr>
        <w:t xml:space="preserve"> doctrina administrativa no es aplicable a la pareja de la DAT porque, mientras que en dichas resoluciones el Centro Directivo </w:t>
      </w:r>
      <w:r w:rsidR="00F601A7" w:rsidRPr="006730E3">
        <w:rPr>
          <w:rFonts w:ascii="Calibri" w:hAnsi="Calibri" w:cs="Times New Roman"/>
          <w:sz w:val="24"/>
          <w:szCs w:val="24"/>
        </w:rPr>
        <w:t>sustenta su criterio en</w:t>
      </w:r>
      <w:r w:rsidR="00BE106F" w:rsidRPr="006730E3">
        <w:rPr>
          <w:rFonts w:ascii="Calibri" w:hAnsi="Calibri" w:cs="Times New Roman"/>
          <w:sz w:val="24"/>
          <w:szCs w:val="24"/>
        </w:rPr>
        <w:t xml:space="preserve"> que «no está regulada en las Leyes una aplicación genérica y en bloque del estatuto ganancial al régimen de convivencia»</w:t>
      </w:r>
      <w:r w:rsidR="00BE106F" w:rsidRPr="006730E3">
        <w:rPr>
          <w:rStyle w:val="Refdenotaalpie"/>
          <w:rFonts w:ascii="Calibri" w:hAnsi="Calibri" w:cs="Times New Roman"/>
          <w:sz w:val="24"/>
          <w:szCs w:val="24"/>
        </w:rPr>
        <w:footnoteReference w:id="120"/>
      </w:r>
      <w:r w:rsidR="00BE106F" w:rsidRPr="006730E3">
        <w:rPr>
          <w:rFonts w:ascii="Calibri" w:hAnsi="Calibri" w:cs="Times New Roman"/>
          <w:sz w:val="24"/>
          <w:szCs w:val="24"/>
        </w:rPr>
        <w:t>, en este trabajo hemos tenido la oportunidad de ver que en el caso gallego sucede justo lo contrario.</w:t>
      </w:r>
      <w:r w:rsidR="00F601A7" w:rsidRPr="006730E3">
        <w:rPr>
          <w:rFonts w:ascii="Calibri" w:hAnsi="Calibri" w:cs="Times New Roman"/>
          <w:sz w:val="24"/>
          <w:szCs w:val="24"/>
        </w:rPr>
        <w:t xml:space="preserve"> En cualquier caso, la mencionada expresión del régimen económico en la inscripción no es una solución óptima pues queda ceñida al concreto </w:t>
      </w:r>
      <w:r w:rsidR="006001E3" w:rsidRPr="006730E3">
        <w:rPr>
          <w:rFonts w:ascii="Calibri" w:hAnsi="Calibri" w:cs="Times New Roman"/>
          <w:sz w:val="24"/>
          <w:szCs w:val="24"/>
        </w:rPr>
        <w:t>bien inmueble al</w:t>
      </w:r>
      <w:r w:rsidR="002E66C4" w:rsidRPr="006730E3">
        <w:rPr>
          <w:rFonts w:ascii="Calibri" w:hAnsi="Calibri" w:cs="Times New Roman"/>
          <w:sz w:val="24"/>
          <w:szCs w:val="24"/>
        </w:rPr>
        <w:t xml:space="preserve"> que se refiere. De esta forma,</w:t>
      </w:r>
      <w:r w:rsidR="00F601A7" w:rsidRPr="006730E3">
        <w:rPr>
          <w:rFonts w:ascii="Calibri" w:hAnsi="Calibri" w:cs="Times New Roman"/>
          <w:sz w:val="24"/>
          <w:szCs w:val="24"/>
        </w:rPr>
        <w:t xml:space="preserve"> </w:t>
      </w:r>
      <w:r w:rsidR="006001E3" w:rsidRPr="006730E3">
        <w:rPr>
          <w:rFonts w:ascii="Calibri" w:hAnsi="Calibri" w:cs="Times New Roman"/>
          <w:sz w:val="24"/>
          <w:szCs w:val="24"/>
        </w:rPr>
        <w:t xml:space="preserve">el régimen que efectivamente rige los restantes bienes de la pareja y sus relaciones económicas sigue </w:t>
      </w:r>
      <w:r w:rsidR="00F601A7" w:rsidRPr="006730E3">
        <w:rPr>
          <w:rFonts w:ascii="Calibri" w:hAnsi="Calibri" w:cs="Times New Roman"/>
          <w:sz w:val="24"/>
          <w:szCs w:val="24"/>
        </w:rPr>
        <w:t xml:space="preserve">careciendo de </w:t>
      </w:r>
      <w:r w:rsidR="006001E3" w:rsidRPr="006730E3">
        <w:rPr>
          <w:rFonts w:ascii="Calibri" w:hAnsi="Calibri" w:cs="Times New Roman"/>
          <w:sz w:val="24"/>
          <w:szCs w:val="24"/>
        </w:rPr>
        <w:t>publicidad en el tráfico.</w:t>
      </w:r>
      <w:r w:rsidR="00F601A7" w:rsidRPr="006730E3">
        <w:rPr>
          <w:rFonts w:ascii="Calibri" w:hAnsi="Calibri" w:cs="Times New Roman"/>
          <w:sz w:val="24"/>
          <w:szCs w:val="24"/>
        </w:rPr>
        <w:t xml:space="preserve"> </w:t>
      </w:r>
    </w:p>
    <w:p w:rsidR="002550CB" w:rsidRPr="006730E3" w:rsidRDefault="00BE106F"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Finalmente, como hemos señalado, es posible </w:t>
      </w:r>
      <w:r w:rsidR="00940711" w:rsidRPr="006730E3">
        <w:rPr>
          <w:rFonts w:ascii="Calibri" w:hAnsi="Calibri" w:cs="Times New Roman"/>
          <w:sz w:val="24"/>
          <w:szCs w:val="24"/>
        </w:rPr>
        <w:t>que el tercero conozca</w:t>
      </w:r>
      <w:r w:rsidR="00784C81" w:rsidRPr="006730E3">
        <w:rPr>
          <w:rFonts w:ascii="Calibri" w:hAnsi="Calibri" w:cs="Times New Roman"/>
          <w:sz w:val="24"/>
          <w:szCs w:val="24"/>
        </w:rPr>
        <w:t xml:space="preserve"> que la persona o personas con las que va a contratar conforman una pareja de la DAT, bien porque éstas se lo hayan dicho, bien porque haya accedido a la información del RPHG </w:t>
      </w:r>
      <w:r w:rsidR="00784C81" w:rsidRPr="006730E3">
        <w:rPr>
          <w:rFonts w:ascii="Calibri" w:hAnsi="Calibri" w:cs="Times New Roman"/>
          <w:i/>
          <w:sz w:val="24"/>
          <w:szCs w:val="24"/>
        </w:rPr>
        <w:t>motu proprio</w:t>
      </w:r>
      <w:r w:rsidR="00784C81" w:rsidRPr="006730E3">
        <w:rPr>
          <w:rFonts w:ascii="Calibri" w:hAnsi="Calibri" w:cs="Times New Roman"/>
          <w:sz w:val="24"/>
          <w:szCs w:val="24"/>
        </w:rPr>
        <w:t xml:space="preserve">.  En tal </w:t>
      </w:r>
      <w:r w:rsidR="00C26194" w:rsidRPr="006730E3">
        <w:rPr>
          <w:rFonts w:ascii="Calibri" w:hAnsi="Calibri" w:cs="Times New Roman"/>
          <w:sz w:val="24"/>
          <w:szCs w:val="24"/>
        </w:rPr>
        <w:t>supuesto</w:t>
      </w:r>
      <w:r w:rsidR="00784C81" w:rsidRPr="006730E3">
        <w:rPr>
          <w:rFonts w:ascii="Calibri" w:hAnsi="Calibri" w:cs="Times New Roman"/>
          <w:sz w:val="24"/>
          <w:szCs w:val="24"/>
        </w:rPr>
        <w:t xml:space="preserve">, entendemos que dicha tercera persona </w:t>
      </w:r>
      <w:r w:rsidR="002550CB" w:rsidRPr="006730E3">
        <w:rPr>
          <w:rFonts w:ascii="Calibri" w:hAnsi="Calibri" w:cs="Times New Roman"/>
          <w:sz w:val="24"/>
          <w:szCs w:val="24"/>
        </w:rPr>
        <w:t xml:space="preserve">no sólo </w:t>
      </w:r>
      <w:r w:rsidR="00784C81" w:rsidRPr="006730E3">
        <w:rPr>
          <w:rFonts w:ascii="Calibri" w:hAnsi="Calibri" w:cs="Times New Roman"/>
          <w:sz w:val="24"/>
          <w:szCs w:val="24"/>
        </w:rPr>
        <w:t xml:space="preserve">puede invocar en su favor la existencia del régimen económico </w:t>
      </w:r>
      <w:r w:rsidR="00C6071D" w:rsidRPr="006730E3">
        <w:rPr>
          <w:rFonts w:ascii="Calibri" w:hAnsi="Calibri" w:cs="Times New Roman"/>
          <w:sz w:val="24"/>
          <w:szCs w:val="24"/>
        </w:rPr>
        <w:t>legal o pactado</w:t>
      </w:r>
      <w:r w:rsidR="000B564E" w:rsidRPr="006730E3">
        <w:rPr>
          <w:rFonts w:ascii="Calibri" w:hAnsi="Calibri" w:cs="Times New Roman"/>
          <w:sz w:val="24"/>
          <w:szCs w:val="24"/>
        </w:rPr>
        <w:t xml:space="preserve"> y los efectos que produce</w:t>
      </w:r>
      <w:r w:rsidR="00C6071D" w:rsidRPr="006730E3">
        <w:rPr>
          <w:rStyle w:val="Refdenotaalpie"/>
          <w:rFonts w:ascii="Calibri" w:hAnsi="Calibri" w:cs="Times New Roman"/>
          <w:sz w:val="24"/>
          <w:szCs w:val="24"/>
        </w:rPr>
        <w:footnoteReference w:id="121"/>
      </w:r>
      <w:r w:rsidR="002550CB" w:rsidRPr="006730E3">
        <w:rPr>
          <w:rFonts w:ascii="Calibri" w:hAnsi="Calibri" w:cs="Times New Roman"/>
          <w:sz w:val="24"/>
          <w:szCs w:val="24"/>
        </w:rPr>
        <w:t>, sino que los mismos también podrán serle opuestos</w:t>
      </w:r>
      <w:r w:rsidR="00F75754" w:rsidRPr="006730E3">
        <w:rPr>
          <w:rFonts w:ascii="Calibri" w:hAnsi="Calibri" w:cs="Times New Roman"/>
          <w:sz w:val="24"/>
          <w:szCs w:val="24"/>
        </w:rPr>
        <w:t xml:space="preserve"> por los miembros de la pareja</w:t>
      </w:r>
      <w:r w:rsidR="002550CB" w:rsidRPr="006730E3">
        <w:rPr>
          <w:rFonts w:ascii="Calibri" w:hAnsi="Calibri" w:cs="Times New Roman"/>
          <w:sz w:val="24"/>
          <w:szCs w:val="24"/>
        </w:rPr>
        <w:t xml:space="preserve"> cuando le perjudiquen</w:t>
      </w:r>
      <w:r w:rsidR="002550CB" w:rsidRPr="006730E3">
        <w:rPr>
          <w:rStyle w:val="Refdenotaalpie"/>
          <w:rFonts w:ascii="Calibri" w:hAnsi="Calibri" w:cs="Times New Roman"/>
          <w:sz w:val="24"/>
          <w:szCs w:val="24"/>
        </w:rPr>
        <w:footnoteReference w:id="122"/>
      </w:r>
      <w:r w:rsidR="001A10DA" w:rsidRPr="006730E3">
        <w:rPr>
          <w:rFonts w:ascii="Calibri" w:hAnsi="Calibri" w:cs="Times New Roman"/>
          <w:sz w:val="24"/>
          <w:szCs w:val="24"/>
        </w:rPr>
        <w:t>, por ejemplo, en el caso de la disposición de un bien ganancial por uno sólo de los miembros de la pareja</w:t>
      </w:r>
      <w:r w:rsidR="00C061B6" w:rsidRPr="006730E3">
        <w:rPr>
          <w:rFonts w:ascii="Calibri" w:hAnsi="Calibri" w:cs="Times New Roman"/>
          <w:sz w:val="24"/>
          <w:szCs w:val="24"/>
        </w:rPr>
        <w:t>,</w:t>
      </w:r>
      <w:r w:rsidR="001A10DA" w:rsidRPr="006730E3">
        <w:rPr>
          <w:rFonts w:ascii="Calibri" w:hAnsi="Calibri" w:cs="Times New Roman"/>
          <w:sz w:val="24"/>
          <w:szCs w:val="24"/>
        </w:rPr>
        <w:t xml:space="preserve"> sabiéndolo el tercero</w:t>
      </w:r>
      <w:r w:rsidR="001A10DA" w:rsidRPr="006730E3">
        <w:rPr>
          <w:rStyle w:val="Refdenotaalpie"/>
          <w:rFonts w:ascii="Calibri" w:hAnsi="Calibri" w:cs="Times New Roman"/>
          <w:sz w:val="24"/>
          <w:szCs w:val="24"/>
        </w:rPr>
        <w:footnoteReference w:id="123"/>
      </w:r>
      <w:r w:rsidR="001A10DA" w:rsidRPr="006730E3">
        <w:rPr>
          <w:rFonts w:ascii="Calibri" w:hAnsi="Calibri" w:cs="Times New Roman"/>
          <w:sz w:val="24"/>
          <w:szCs w:val="24"/>
        </w:rPr>
        <w:t>.</w:t>
      </w:r>
    </w:p>
    <w:p w:rsidR="00D67D92" w:rsidRPr="006730E3" w:rsidRDefault="00D67D92" w:rsidP="00416B3A">
      <w:pPr>
        <w:spacing w:line="312" w:lineRule="auto"/>
        <w:jc w:val="both"/>
        <w:rPr>
          <w:rFonts w:ascii="Calibri" w:hAnsi="Calibri" w:cs="Times New Roman"/>
          <w:sz w:val="24"/>
          <w:szCs w:val="24"/>
        </w:rPr>
      </w:pPr>
    </w:p>
    <w:p w:rsidR="001A10DA" w:rsidRPr="00A81597" w:rsidRDefault="001A10DA" w:rsidP="00416B3A">
      <w:pPr>
        <w:spacing w:line="312" w:lineRule="auto"/>
        <w:jc w:val="both"/>
        <w:rPr>
          <w:rFonts w:ascii="Calibri" w:hAnsi="Calibri" w:cs="Times New Roman"/>
          <w:smallCaps/>
          <w:sz w:val="24"/>
          <w:szCs w:val="24"/>
        </w:rPr>
      </w:pPr>
      <w:r w:rsidRPr="00A81597">
        <w:rPr>
          <w:rFonts w:ascii="Calibri" w:hAnsi="Calibri" w:cs="Times New Roman"/>
          <w:smallCaps/>
          <w:sz w:val="24"/>
          <w:szCs w:val="24"/>
        </w:rPr>
        <w:t>3. C</w:t>
      </w:r>
      <w:r w:rsidR="00A81597" w:rsidRPr="00A81597">
        <w:rPr>
          <w:rFonts w:ascii="Calibri" w:hAnsi="Calibri" w:cs="Times New Roman"/>
          <w:smallCaps/>
          <w:sz w:val="24"/>
          <w:szCs w:val="24"/>
        </w:rPr>
        <w:t>onclusiones</w:t>
      </w:r>
    </w:p>
    <w:p w:rsidR="001A10DA" w:rsidRPr="006730E3" w:rsidRDefault="001A10DA"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 xml:space="preserve">A la pareja de la DAT se le aplica el régimen de la sociedad de gananciales salvo que haya establecido </w:t>
      </w:r>
      <w:r w:rsidR="00387D44" w:rsidRPr="006730E3">
        <w:rPr>
          <w:rFonts w:ascii="Calibri" w:hAnsi="Calibri" w:cs="Times New Roman"/>
          <w:sz w:val="24"/>
          <w:szCs w:val="24"/>
        </w:rPr>
        <w:t xml:space="preserve">en escritura pública un sistema para regular </w:t>
      </w:r>
      <w:proofErr w:type="gramStart"/>
      <w:r w:rsidR="00387D44" w:rsidRPr="006730E3">
        <w:rPr>
          <w:rFonts w:ascii="Calibri" w:hAnsi="Calibri" w:cs="Times New Roman"/>
          <w:sz w:val="24"/>
          <w:szCs w:val="24"/>
        </w:rPr>
        <w:t>sus relaciones económicas distinto</w:t>
      </w:r>
      <w:proofErr w:type="gramEnd"/>
      <w:r w:rsidRPr="006730E3">
        <w:rPr>
          <w:rFonts w:ascii="Calibri" w:hAnsi="Calibri" w:cs="Times New Roman"/>
          <w:sz w:val="24"/>
          <w:szCs w:val="24"/>
        </w:rPr>
        <w:t>. Dicha regulación es perfectamente respetuosa con la autonomía de la voluntad de las partes</w:t>
      </w:r>
      <w:r w:rsidR="00DB5A8D" w:rsidRPr="006730E3">
        <w:rPr>
          <w:rFonts w:ascii="Calibri" w:hAnsi="Calibri" w:cs="Times New Roman"/>
          <w:sz w:val="24"/>
          <w:szCs w:val="24"/>
        </w:rPr>
        <w:t xml:space="preserve"> y nuestra Constitución</w:t>
      </w:r>
      <w:r w:rsidRPr="006730E3">
        <w:rPr>
          <w:rFonts w:ascii="Calibri" w:hAnsi="Calibri" w:cs="Times New Roman"/>
          <w:sz w:val="24"/>
          <w:szCs w:val="24"/>
        </w:rPr>
        <w:t>,</w:t>
      </w:r>
      <w:r w:rsidR="00DB5A8D" w:rsidRPr="006730E3">
        <w:rPr>
          <w:rFonts w:ascii="Calibri" w:hAnsi="Calibri" w:cs="Times New Roman"/>
          <w:sz w:val="24"/>
          <w:szCs w:val="24"/>
        </w:rPr>
        <w:t xml:space="preserve"> si bien su máximo intérprete mantiene un </w:t>
      </w:r>
      <w:r w:rsidR="002E66C4" w:rsidRPr="006730E3">
        <w:rPr>
          <w:rFonts w:ascii="Calibri" w:hAnsi="Calibri" w:cs="Times New Roman"/>
          <w:sz w:val="24"/>
          <w:szCs w:val="24"/>
        </w:rPr>
        <w:t>«</w:t>
      </w:r>
      <w:r w:rsidR="00DB5A8D" w:rsidRPr="006730E3">
        <w:rPr>
          <w:rFonts w:ascii="Calibri" w:hAnsi="Calibri" w:cs="Times New Roman"/>
          <w:sz w:val="24"/>
          <w:szCs w:val="24"/>
        </w:rPr>
        <w:t>rígido</w:t>
      </w:r>
      <w:r w:rsidR="002E66C4" w:rsidRPr="006730E3">
        <w:rPr>
          <w:rFonts w:ascii="Calibri" w:hAnsi="Calibri" w:cs="Times New Roman"/>
          <w:sz w:val="24"/>
          <w:szCs w:val="24"/>
        </w:rPr>
        <w:t>»</w:t>
      </w:r>
      <w:r w:rsidR="00DB5A8D" w:rsidRPr="006730E3">
        <w:rPr>
          <w:rFonts w:ascii="Calibri" w:hAnsi="Calibri" w:cs="Times New Roman"/>
          <w:sz w:val="24"/>
          <w:szCs w:val="24"/>
        </w:rPr>
        <w:t xml:space="preserve"> criterio que, de serle aplicado a la DAT, entendemos que determinaría la declaración de su inconstitucionalidad.</w:t>
      </w:r>
    </w:p>
    <w:p w:rsidR="00AD422A" w:rsidRPr="006730E3" w:rsidRDefault="00434F1C"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No obstante, la opción de imitar la institución matrimonial y trasladar sus características sustantivas y formales a la pareja de la DAT plantea problemas de diversa índole. </w:t>
      </w:r>
    </w:p>
    <w:p w:rsidR="00B7594D" w:rsidRPr="006730E3" w:rsidRDefault="00434F1C"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el marco competencial, el legislador gallego no tiene atribuidas las competencias suficientes para que las notas propias del </w:t>
      </w:r>
      <w:r w:rsidR="00B7594D" w:rsidRPr="006730E3">
        <w:rPr>
          <w:rFonts w:ascii="Calibri" w:hAnsi="Calibri" w:cs="Times New Roman"/>
          <w:sz w:val="24"/>
          <w:szCs w:val="24"/>
        </w:rPr>
        <w:t xml:space="preserve">matrimonio y su régimen económico puedan desplegar su plena eficacia frente a terceros. A pesar de ello, </w:t>
      </w:r>
      <w:r w:rsidR="00DD1017" w:rsidRPr="006730E3">
        <w:rPr>
          <w:rFonts w:ascii="Calibri" w:hAnsi="Calibri" w:cs="Times New Roman"/>
          <w:sz w:val="24"/>
          <w:szCs w:val="24"/>
        </w:rPr>
        <w:t xml:space="preserve">y </w:t>
      </w:r>
      <w:r w:rsidR="00B7594D" w:rsidRPr="006730E3">
        <w:rPr>
          <w:rFonts w:ascii="Calibri" w:hAnsi="Calibri" w:cs="Times New Roman"/>
          <w:sz w:val="24"/>
          <w:szCs w:val="24"/>
        </w:rPr>
        <w:t xml:space="preserve">dirigido de forma más o menos consciente por la </w:t>
      </w:r>
      <w:r w:rsidR="00013979" w:rsidRPr="006730E3">
        <w:rPr>
          <w:rFonts w:ascii="Calibri" w:hAnsi="Calibri" w:cs="Times New Roman"/>
          <w:sz w:val="24"/>
          <w:szCs w:val="24"/>
        </w:rPr>
        <w:t>intención</w:t>
      </w:r>
      <w:r w:rsidR="00B7594D" w:rsidRPr="006730E3">
        <w:rPr>
          <w:rFonts w:ascii="Calibri" w:hAnsi="Calibri" w:cs="Times New Roman"/>
          <w:sz w:val="24"/>
          <w:szCs w:val="24"/>
        </w:rPr>
        <w:t xml:space="preserve"> de procurar dicha </w:t>
      </w:r>
      <w:proofErr w:type="spellStart"/>
      <w:r w:rsidR="00B7594D" w:rsidRPr="006730E3">
        <w:rPr>
          <w:rFonts w:ascii="Calibri" w:hAnsi="Calibri" w:cs="Times New Roman"/>
          <w:sz w:val="24"/>
          <w:szCs w:val="24"/>
        </w:rPr>
        <w:t>oponibilidad</w:t>
      </w:r>
      <w:proofErr w:type="spellEnd"/>
      <w:r w:rsidR="00013979" w:rsidRPr="006730E3">
        <w:rPr>
          <w:rFonts w:ascii="Calibri" w:hAnsi="Calibri" w:cs="Times New Roman"/>
          <w:sz w:val="24"/>
          <w:szCs w:val="24"/>
        </w:rPr>
        <w:t xml:space="preserve"> </w:t>
      </w:r>
      <w:r w:rsidR="00013979" w:rsidRPr="006730E3">
        <w:rPr>
          <w:rFonts w:ascii="Calibri" w:hAnsi="Calibri" w:cs="Times New Roman"/>
          <w:i/>
          <w:sz w:val="24"/>
          <w:szCs w:val="24"/>
        </w:rPr>
        <w:t>erga omnes</w:t>
      </w:r>
      <w:r w:rsidR="00B7594D" w:rsidRPr="006730E3">
        <w:rPr>
          <w:rFonts w:ascii="Calibri" w:hAnsi="Calibri" w:cs="Times New Roman"/>
          <w:sz w:val="24"/>
          <w:szCs w:val="24"/>
        </w:rPr>
        <w:t xml:space="preserve">, quebranta </w:t>
      </w:r>
      <w:r w:rsidR="00387D44" w:rsidRPr="006730E3">
        <w:rPr>
          <w:rFonts w:ascii="Calibri" w:hAnsi="Calibri" w:cs="Times New Roman"/>
          <w:sz w:val="24"/>
          <w:szCs w:val="24"/>
        </w:rPr>
        <w:t xml:space="preserve">a nuestro juicio </w:t>
      </w:r>
      <w:r w:rsidR="00B7594D" w:rsidRPr="006730E3">
        <w:rPr>
          <w:rFonts w:ascii="Calibri" w:hAnsi="Calibri" w:cs="Times New Roman"/>
          <w:sz w:val="24"/>
          <w:szCs w:val="24"/>
        </w:rPr>
        <w:t>el reparto de competencias contenido en el art. 149.</w:t>
      </w:r>
      <w:r w:rsidR="008D79B8" w:rsidRPr="006730E3">
        <w:rPr>
          <w:rFonts w:ascii="Calibri" w:hAnsi="Calibri" w:cs="Times New Roman"/>
          <w:sz w:val="24"/>
          <w:szCs w:val="24"/>
        </w:rPr>
        <w:t>1.8ª</w:t>
      </w:r>
      <w:r w:rsidR="00B7594D" w:rsidRPr="006730E3">
        <w:rPr>
          <w:rFonts w:ascii="Calibri" w:hAnsi="Calibri" w:cs="Times New Roman"/>
          <w:sz w:val="24"/>
          <w:szCs w:val="24"/>
        </w:rPr>
        <w:t xml:space="preserve"> CE y crea un registro de parejas que produce efectos civiles. </w:t>
      </w:r>
      <w:r w:rsidR="00B24A9B" w:rsidRPr="006730E3">
        <w:rPr>
          <w:rFonts w:ascii="Calibri" w:hAnsi="Calibri" w:cs="Times New Roman"/>
          <w:sz w:val="24"/>
          <w:szCs w:val="24"/>
        </w:rPr>
        <w:t>Pero el legislador no llega a consumar sus pretensiones y el resultado final es que</w:t>
      </w:r>
      <w:r w:rsidR="00B7594D" w:rsidRPr="006730E3">
        <w:rPr>
          <w:rFonts w:ascii="Calibri" w:hAnsi="Calibri" w:cs="Times New Roman"/>
          <w:sz w:val="24"/>
          <w:szCs w:val="24"/>
        </w:rPr>
        <w:t xml:space="preserve"> el RPHG </w:t>
      </w:r>
      <w:r w:rsidR="00B24A9B" w:rsidRPr="006730E3">
        <w:rPr>
          <w:rFonts w:ascii="Calibri" w:hAnsi="Calibri" w:cs="Times New Roman"/>
          <w:sz w:val="24"/>
          <w:szCs w:val="24"/>
        </w:rPr>
        <w:t xml:space="preserve">creado </w:t>
      </w:r>
      <w:r w:rsidR="00B7594D" w:rsidRPr="006730E3">
        <w:rPr>
          <w:rFonts w:ascii="Calibri" w:hAnsi="Calibri" w:cs="Times New Roman"/>
          <w:sz w:val="24"/>
          <w:szCs w:val="24"/>
        </w:rPr>
        <w:t xml:space="preserve">adolece de muchas deficiencias, quedándose a medio camino entre los registros </w:t>
      </w:r>
      <w:r w:rsidR="002E66C4" w:rsidRPr="006730E3">
        <w:rPr>
          <w:rFonts w:ascii="Calibri" w:hAnsi="Calibri" w:cs="Times New Roman"/>
          <w:sz w:val="24"/>
          <w:szCs w:val="24"/>
        </w:rPr>
        <w:t>dirigidos a producir efectos sustantivos</w:t>
      </w:r>
      <w:r w:rsidR="00B7594D" w:rsidRPr="006730E3">
        <w:rPr>
          <w:rFonts w:ascii="Calibri" w:hAnsi="Calibri" w:cs="Times New Roman"/>
          <w:sz w:val="24"/>
          <w:szCs w:val="24"/>
        </w:rPr>
        <w:t xml:space="preserve"> y </w:t>
      </w:r>
      <w:r w:rsidR="002E66C4" w:rsidRPr="006730E3">
        <w:rPr>
          <w:rFonts w:ascii="Calibri" w:hAnsi="Calibri" w:cs="Times New Roman"/>
          <w:sz w:val="24"/>
          <w:szCs w:val="24"/>
        </w:rPr>
        <w:t>los que ciñen sus efectos al ámbito administrativo</w:t>
      </w:r>
      <w:r w:rsidR="00B7594D" w:rsidRPr="006730E3">
        <w:rPr>
          <w:rFonts w:ascii="Calibri" w:hAnsi="Calibri" w:cs="Times New Roman"/>
          <w:sz w:val="24"/>
          <w:szCs w:val="24"/>
        </w:rPr>
        <w:t>.</w:t>
      </w:r>
    </w:p>
    <w:p w:rsidR="00B7594D" w:rsidRPr="006730E3" w:rsidRDefault="00B7594D"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Entre </w:t>
      </w:r>
      <w:r w:rsidR="00AD422A" w:rsidRPr="006730E3">
        <w:rPr>
          <w:rFonts w:ascii="Calibri" w:hAnsi="Calibri" w:cs="Times New Roman"/>
          <w:sz w:val="24"/>
          <w:szCs w:val="24"/>
        </w:rPr>
        <w:t>sus</w:t>
      </w:r>
      <w:r w:rsidR="00DD1017" w:rsidRPr="006730E3">
        <w:rPr>
          <w:rFonts w:ascii="Calibri" w:hAnsi="Calibri" w:cs="Times New Roman"/>
          <w:sz w:val="24"/>
          <w:szCs w:val="24"/>
        </w:rPr>
        <w:t xml:space="preserve"> defectos </w:t>
      </w:r>
      <w:r w:rsidRPr="006730E3">
        <w:rPr>
          <w:rFonts w:ascii="Calibri" w:hAnsi="Calibri" w:cs="Times New Roman"/>
          <w:sz w:val="24"/>
          <w:szCs w:val="24"/>
        </w:rPr>
        <w:t xml:space="preserve">más evidentes, </w:t>
      </w:r>
      <w:r w:rsidR="00DD1017" w:rsidRPr="006730E3">
        <w:rPr>
          <w:rFonts w:ascii="Calibri" w:hAnsi="Calibri" w:cs="Times New Roman"/>
          <w:sz w:val="24"/>
          <w:szCs w:val="24"/>
        </w:rPr>
        <w:t>nos concierne destacar que, en la práctica,</w:t>
      </w:r>
      <w:r w:rsidRPr="006730E3">
        <w:rPr>
          <w:rFonts w:ascii="Calibri" w:hAnsi="Calibri" w:cs="Times New Roman"/>
          <w:sz w:val="24"/>
          <w:szCs w:val="24"/>
        </w:rPr>
        <w:t xml:space="preserve"> no </w:t>
      </w:r>
      <w:r w:rsidR="00DD1017" w:rsidRPr="006730E3">
        <w:rPr>
          <w:rFonts w:ascii="Calibri" w:hAnsi="Calibri" w:cs="Times New Roman"/>
          <w:sz w:val="24"/>
          <w:szCs w:val="24"/>
        </w:rPr>
        <w:t>se satisfacen</w:t>
      </w:r>
      <w:r w:rsidRPr="006730E3">
        <w:rPr>
          <w:rFonts w:ascii="Calibri" w:hAnsi="Calibri" w:cs="Times New Roman"/>
          <w:sz w:val="24"/>
          <w:szCs w:val="24"/>
        </w:rPr>
        <w:t xml:space="preserve"> los derechos y expectativas que teóricamente la LDCG concede a la pareja que voluntariamente </w:t>
      </w:r>
      <w:r w:rsidR="00DD1017" w:rsidRPr="006730E3">
        <w:rPr>
          <w:rFonts w:ascii="Calibri" w:hAnsi="Calibri" w:cs="Times New Roman"/>
          <w:sz w:val="24"/>
          <w:szCs w:val="24"/>
        </w:rPr>
        <w:t>cumple</w:t>
      </w:r>
      <w:r w:rsidRPr="006730E3">
        <w:rPr>
          <w:rFonts w:ascii="Calibri" w:hAnsi="Calibri" w:cs="Times New Roman"/>
          <w:sz w:val="24"/>
          <w:szCs w:val="24"/>
        </w:rPr>
        <w:t xml:space="preserve"> los requisitos de la DAT: a lo que ahora nos interesa, la aplicación </w:t>
      </w:r>
      <w:r w:rsidR="00013979" w:rsidRPr="006730E3">
        <w:rPr>
          <w:rFonts w:ascii="Calibri" w:hAnsi="Calibri" w:cs="Times New Roman"/>
          <w:sz w:val="24"/>
          <w:szCs w:val="24"/>
        </w:rPr>
        <w:t xml:space="preserve">con todas sus consecuencias </w:t>
      </w:r>
      <w:r w:rsidRPr="006730E3">
        <w:rPr>
          <w:rFonts w:ascii="Calibri" w:hAnsi="Calibri" w:cs="Times New Roman"/>
          <w:sz w:val="24"/>
          <w:szCs w:val="24"/>
        </w:rPr>
        <w:t>del régimen de la sociedad gananciales en defecto de pacto</w:t>
      </w:r>
      <w:r w:rsidR="00F601A7" w:rsidRPr="006730E3">
        <w:rPr>
          <w:rFonts w:ascii="Calibri" w:hAnsi="Calibri" w:cs="Times New Roman"/>
          <w:sz w:val="24"/>
          <w:szCs w:val="24"/>
        </w:rPr>
        <w:t>. Por ello, la pareja tendrá que solventar dicha falta de plena eficacia de su régimen patrimonial, bien recurriendo a otros sistemas de publicidad como el RP,</w:t>
      </w:r>
      <w:r w:rsidR="00013979" w:rsidRPr="006730E3">
        <w:rPr>
          <w:rFonts w:ascii="Calibri" w:hAnsi="Calibri" w:cs="Times New Roman"/>
          <w:sz w:val="24"/>
          <w:szCs w:val="24"/>
        </w:rPr>
        <w:t xml:space="preserve"> lo cual sólo ofrece una solución parcial que atañe al concreto bien inscrito,</w:t>
      </w:r>
      <w:r w:rsidR="00F601A7" w:rsidRPr="006730E3">
        <w:rPr>
          <w:rFonts w:ascii="Calibri" w:hAnsi="Calibri" w:cs="Times New Roman"/>
          <w:sz w:val="24"/>
          <w:szCs w:val="24"/>
        </w:rPr>
        <w:t xml:space="preserve"> bien publicitando ellos mismos la existencia de dicho régimen a los terceros con quienes se relacionen.</w:t>
      </w:r>
    </w:p>
    <w:p w:rsidR="00B24A9B" w:rsidRPr="006730E3" w:rsidRDefault="00B24A9B"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Ello tiene como resultado que la pareja </w:t>
      </w:r>
      <w:r w:rsidR="00387D44" w:rsidRPr="006730E3">
        <w:rPr>
          <w:rFonts w:ascii="Calibri" w:hAnsi="Calibri" w:cs="Times New Roman"/>
          <w:sz w:val="24"/>
          <w:szCs w:val="24"/>
        </w:rPr>
        <w:t>sujeta a</w:t>
      </w:r>
      <w:r w:rsidRPr="006730E3">
        <w:rPr>
          <w:rFonts w:ascii="Calibri" w:hAnsi="Calibri" w:cs="Times New Roman"/>
          <w:sz w:val="24"/>
          <w:szCs w:val="24"/>
        </w:rPr>
        <w:t xml:space="preserve"> la DAT se ve sometida, justo al contrario de lo que se buscaba, a una palmaria inseguridad jurídica </w:t>
      </w:r>
      <w:r w:rsidR="00AD422A" w:rsidRPr="006730E3">
        <w:rPr>
          <w:rFonts w:ascii="Calibri" w:hAnsi="Calibri" w:cs="Times New Roman"/>
          <w:sz w:val="24"/>
          <w:szCs w:val="24"/>
        </w:rPr>
        <w:t>en cuanto</w:t>
      </w:r>
      <w:r w:rsidRPr="006730E3">
        <w:rPr>
          <w:rFonts w:ascii="Calibri" w:hAnsi="Calibri" w:cs="Times New Roman"/>
          <w:sz w:val="24"/>
          <w:szCs w:val="24"/>
        </w:rPr>
        <w:t xml:space="preserve"> cabe que ambos convivientes crean que la inscripción en el RPHG en realidad sí goza de la suficiente publicidad frente a cualquier tercero cuando en realidad sólo </w:t>
      </w:r>
      <w:r w:rsidR="00DD1017" w:rsidRPr="006730E3">
        <w:rPr>
          <w:rFonts w:ascii="Calibri" w:hAnsi="Calibri" w:cs="Times New Roman"/>
          <w:sz w:val="24"/>
          <w:szCs w:val="24"/>
        </w:rPr>
        <w:t>tiene</w:t>
      </w:r>
      <w:r w:rsidRPr="006730E3">
        <w:rPr>
          <w:rFonts w:ascii="Calibri" w:hAnsi="Calibri" w:cs="Times New Roman"/>
          <w:sz w:val="24"/>
          <w:szCs w:val="24"/>
        </w:rPr>
        <w:t xml:space="preserve"> una eficacia </w:t>
      </w:r>
      <w:r w:rsidRPr="006730E3">
        <w:rPr>
          <w:rFonts w:ascii="Calibri" w:hAnsi="Calibri" w:cs="Times New Roman"/>
          <w:i/>
          <w:sz w:val="24"/>
          <w:szCs w:val="24"/>
        </w:rPr>
        <w:t>inter partes</w:t>
      </w:r>
      <w:r w:rsidR="00B35D2E" w:rsidRPr="006730E3">
        <w:rPr>
          <w:rFonts w:ascii="Calibri" w:hAnsi="Calibri" w:cs="Times New Roman"/>
          <w:sz w:val="24"/>
          <w:szCs w:val="24"/>
        </w:rPr>
        <w:t xml:space="preserve"> salvo conocimiento</w:t>
      </w:r>
      <w:r w:rsidR="00D42EF3" w:rsidRPr="006730E3">
        <w:rPr>
          <w:rFonts w:ascii="Calibri" w:hAnsi="Calibri" w:cs="Times New Roman"/>
          <w:sz w:val="24"/>
          <w:szCs w:val="24"/>
        </w:rPr>
        <w:t xml:space="preserve"> por parte de aquél de la existencia de la inscripción</w:t>
      </w:r>
      <w:r w:rsidRPr="006730E3">
        <w:rPr>
          <w:rFonts w:ascii="Calibri" w:hAnsi="Calibri" w:cs="Times New Roman"/>
          <w:sz w:val="24"/>
          <w:szCs w:val="24"/>
        </w:rPr>
        <w:t xml:space="preserve">. Del mismo modo, es posible que uno de los </w:t>
      </w:r>
      <w:r w:rsidR="000168C6">
        <w:rPr>
          <w:rFonts w:ascii="Calibri" w:hAnsi="Calibri" w:cs="Times New Roman"/>
          <w:sz w:val="24"/>
          <w:szCs w:val="24"/>
        </w:rPr>
        <w:t>miembros de la pareja</w:t>
      </w:r>
      <w:r w:rsidRPr="006730E3">
        <w:rPr>
          <w:rFonts w:ascii="Calibri" w:hAnsi="Calibri" w:cs="Times New Roman"/>
          <w:sz w:val="24"/>
          <w:szCs w:val="24"/>
        </w:rPr>
        <w:t xml:space="preserve"> aproveche esa falta de </w:t>
      </w:r>
      <w:proofErr w:type="spellStart"/>
      <w:r w:rsidRPr="006730E3">
        <w:rPr>
          <w:rFonts w:ascii="Calibri" w:hAnsi="Calibri" w:cs="Times New Roman"/>
          <w:sz w:val="24"/>
          <w:szCs w:val="24"/>
        </w:rPr>
        <w:t>oponibilidad</w:t>
      </w:r>
      <w:proofErr w:type="spellEnd"/>
      <w:r w:rsidRPr="006730E3">
        <w:rPr>
          <w:rFonts w:ascii="Calibri" w:hAnsi="Calibri" w:cs="Times New Roman"/>
          <w:sz w:val="24"/>
          <w:szCs w:val="24"/>
        </w:rPr>
        <w:t xml:space="preserve"> </w:t>
      </w:r>
      <w:r w:rsidRPr="006730E3">
        <w:rPr>
          <w:rFonts w:ascii="Calibri" w:hAnsi="Calibri" w:cs="Times New Roman"/>
          <w:i/>
          <w:sz w:val="24"/>
          <w:szCs w:val="24"/>
        </w:rPr>
        <w:t>erga omnes</w:t>
      </w:r>
      <w:r w:rsidRPr="006730E3">
        <w:rPr>
          <w:rFonts w:ascii="Calibri" w:hAnsi="Calibri" w:cs="Times New Roman"/>
          <w:sz w:val="24"/>
          <w:szCs w:val="24"/>
        </w:rPr>
        <w:t xml:space="preserve"> para realizar actos de disposición sobre los bienes de la pareja</w:t>
      </w:r>
      <w:r w:rsidR="00B35D2E" w:rsidRPr="006730E3">
        <w:rPr>
          <w:rFonts w:ascii="Calibri" w:hAnsi="Calibri" w:cs="Times New Roman"/>
          <w:sz w:val="24"/>
          <w:szCs w:val="24"/>
        </w:rPr>
        <w:t xml:space="preserve"> que, </w:t>
      </w:r>
      <w:r w:rsidR="00DD1017" w:rsidRPr="006730E3">
        <w:rPr>
          <w:rFonts w:ascii="Calibri" w:hAnsi="Calibri" w:cs="Times New Roman"/>
          <w:sz w:val="24"/>
          <w:szCs w:val="24"/>
        </w:rPr>
        <w:t>conforme al régimen económico a aplicar, requieren</w:t>
      </w:r>
      <w:r w:rsidR="00B35D2E" w:rsidRPr="006730E3">
        <w:rPr>
          <w:rFonts w:ascii="Calibri" w:hAnsi="Calibri" w:cs="Times New Roman"/>
          <w:sz w:val="24"/>
          <w:szCs w:val="24"/>
        </w:rPr>
        <w:t xml:space="preserve"> el consentimiento</w:t>
      </w:r>
      <w:r w:rsidR="00DD1017" w:rsidRPr="006730E3">
        <w:rPr>
          <w:rFonts w:ascii="Calibri" w:hAnsi="Calibri" w:cs="Times New Roman"/>
          <w:sz w:val="24"/>
          <w:szCs w:val="24"/>
        </w:rPr>
        <w:t xml:space="preserve"> de ambos</w:t>
      </w:r>
      <w:r w:rsidR="00B35D2E" w:rsidRPr="006730E3">
        <w:rPr>
          <w:rFonts w:ascii="Calibri" w:hAnsi="Calibri" w:cs="Times New Roman"/>
          <w:sz w:val="24"/>
          <w:szCs w:val="24"/>
        </w:rPr>
        <w:t>. En tal caso, al tercero de buena fe nada cabría reprochar y al conviviente perjudicado sólo le quedaría dirigirse contra su pareja.</w:t>
      </w:r>
    </w:p>
    <w:p w:rsidR="008D79B8" w:rsidRPr="006730E3" w:rsidRDefault="008D79B8"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 xml:space="preserve">Sin embargo, las críticas que realizamos no deben ir dirigidas únicamente frente al legislador gallego, sino también el estatal quien, como hemos comentado, parece empecinado en ignorar la realidad de las parejas no casadas. Así, no sólo prescinde de reconocer efectos a este tipo de relaciones en el </w:t>
      </w:r>
      <w:r w:rsidR="00E96E64" w:rsidRPr="006730E3">
        <w:rPr>
          <w:rFonts w:ascii="Calibri" w:hAnsi="Calibri" w:cs="Times New Roman"/>
          <w:sz w:val="24"/>
          <w:szCs w:val="24"/>
        </w:rPr>
        <w:t>ámbito civil, sino que</w:t>
      </w:r>
      <w:r w:rsidR="00840A9A" w:rsidRPr="006730E3">
        <w:rPr>
          <w:rFonts w:ascii="Calibri" w:hAnsi="Calibri" w:cs="Times New Roman"/>
          <w:sz w:val="24"/>
          <w:szCs w:val="24"/>
        </w:rPr>
        <w:t xml:space="preserve"> su pasividad se torna incomprensible cuando, siendo conocedor de que muchas Comunidades Autónomas llevan años regulando con mejor o peor técnica esta realidad, no les ofrece el suficiente apoyo legislando en el ámbito de sus competencias exclusivas para que la regulación autonómica devenga completa y plenamente eficaz. El caso gallego es un claro ejemplo de ello. Dejando de lado la controversia en torno a la posible suplantación del matrimonio que genera la DAT, que el sistema registral </w:t>
      </w:r>
      <w:r w:rsidR="00481A1B" w:rsidRPr="006730E3">
        <w:rPr>
          <w:rFonts w:ascii="Calibri" w:hAnsi="Calibri" w:cs="Times New Roman"/>
          <w:sz w:val="24"/>
          <w:szCs w:val="24"/>
        </w:rPr>
        <w:t xml:space="preserve">se considere poco adecuado para regular una realidad fáctica o que el mismo suponga prescindir de ofrecer cobertura legal a aquellas parejas no inscritas, </w:t>
      </w:r>
      <w:r w:rsidR="00840A9A" w:rsidRPr="006730E3">
        <w:rPr>
          <w:rFonts w:ascii="Calibri" w:hAnsi="Calibri" w:cs="Times New Roman"/>
          <w:sz w:val="24"/>
          <w:szCs w:val="24"/>
        </w:rPr>
        <w:t>el hecho de que una Comunidad Autónoma</w:t>
      </w:r>
      <w:r w:rsidR="00481A1B" w:rsidRPr="006730E3">
        <w:rPr>
          <w:rFonts w:ascii="Calibri" w:hAnsi="Calibri" w:cs="Times New Roman"/>
          <w:sz w:val="24"/>
          <w:szCs w:val="24"/>
        </w:rPr>
        <w:t xml:space="preserve"> competente</w:t>
      </w:r>
      <w:r w:rsidR="00840A9A" w:rsidRPr="006730E3">
        <w:rPr>
          <w:rFonts w:ascii="Calibri" w:hAnsi="Calibri" w:cs="Times New Roman"/>
          <w:sz w:val="24"/>
          <w:szCs w:val="24"/>
        </w:rPr>
        <w:t xml:space="preserve"> pretenda otorgar unos</w:t>
      </w:r>
      <w:r w:rsidR="00481A1B" w:rsidRPr="006730E3">
        <w:rPr>
          <w:rFonts w:ascii="Calibri" w:hAnsi="Calibri" w:cs="Times New Roman"/>
          <w:sz w:val="24"/>
          <w:szCs w:val="24"/>
        </w:rPr>
        <w:t xml:space="preserve"> efectos patrimoniales a la pareja no casada que afecten también a los terceros que se relacionen con ella, exige inexcusablemente la colaboración estatal para la exteriorización de dicho efectos a través de un registro cuya creación </w:t>
      </w:r>
      <w:r w:rsidR="00235586" w:rsidRPr="006730E3">
        <w:rPr>
          <w:rFonts w:ascii="Calibri" w:hAnsi="Calibri" w:cs="Times New Roman"/>
          <w:sz w:val="24"/>
          <w:szCs w:val="24"/>
        </w:rPr>
        <w:t xml:space="preserve">corresponde a su </w:t>
      </w:r>
      <w:r w:rsidR="00481A1B" w:rsidRPr="006730E3">
        <w:rPr>
          <w:rFonts w:ascii="Calibri" w:hAnsi="Calibri" w:cs="Times New Roman"/>
          <w:sz w:val="24"/>
          <w:szCs w:val="24"/>
        </w:rPr>
        <w:t>competencia exclusiva.</w:t>
      </w:r>
    </w:p>
    <w:p w:rsidR="00481A1B" w:rsidRPr="006730E3" w:rsidRDefault="00235586" w:rsidP="00416B3A">
      <w:pPr>
        <w:spacing w:line="312" w:lineRule="auto"/>
        <w:jc w:val="both"/>
        <w:rPr>
          <w:rFonts w:ascii="Calibri" w:hAnsi="Calibri" w:cs="Times New Roman"/>
          <w:sz w:val="24"/>
          <w:szCs w:val="24"/>
        </w:rPr>
      </w:pPr>
      <w:r w:rsidRPr="006730E3">
        <w:rPr>
          <w:rFonts w:ascii="Calibri" w:hAnsi="Calibri" w:cs="Times New Roman"/>
          <w:sz w:val="24"/>
          <w:szCs w:val="24"/>
        </w:rPr>
        <w:t>Lo contrario supone, como ejemplifica la DAT y la regulación del RPHG, que el legislador autonómico se dirija a legislar en una materia que</w:t>
      </w:r>
      <w:r w:rsidR="0010038E" w:rsidRPr="006730E3">
        <w:rPr>
          <w:rFonts w:ascii="Calibri" w:hAnsi="Calibri" w:cs="Times New Roman"/>
          <w:sz w:val="24"/>
          <w:szCs w:val="24"/>
        </w:rPr>
        <w:t>, si bien</w:t>
      </w:r>
      <w:r w:rsidRPr="006730E3">
        <w:rPr>
          <w:rFonts w:ascii="Calibri" w:hAnsi="Calibri" w:cs="Times New Roman"/>
          <w:sz w:val="24"/>
          <w:szCs w:val="24"/>
        </w:rPr>
        <w:t xml:space="preserve"> la inactividad del Estado parece dejar </w:t>
      </w:r>
      <w:r w:rsidRPr="006730E3">
        <w:rPr>
          <w:rFonts w:ascii="Calibri" w:hAnsi="Calibri" w:cs="Times New Roman"/>
          <w:i/>
          <w:sz w:val="24"/>
          <w:szCs w:val="24"/>
        </w:rPr>
        <w:t>de facto</w:t>
      </w:r>
      <w:r w:rsidRPr="006730E3">
        <w:rPr>
          <w:rFonts w:ascii="Calibri" w:hAnsi="Calibri" w:cs="Times New Roman"/>
          <w:sz w:val="24"/>
          <w:szCs w:val="24"/>
        </w:rPr>
        <w:t xml:space="preserve"> en tierra de nadie</w:t>
      </w:r>
      <w:r w:rsidR="0010038E" w:rsidRPr="006730E3">
        <w:rPr>
          <w:rFonts w:ascii="Calibri" w:hAnsi="Calibri" w:cs="Times New Roman"/>
          <w:sz w:val="24"/>
          <w:szCs w:val="24"/>
        </w:rPr>
        <w:t xml:space="preserve">, se sitúa fuera de su ámbito competencial. </w:t>
      </w:r>
      <w:r w:rsidRPr="006730E3">
        <w:rPr>
          <w:rFonts w:ascii="Calibri" w:hAnsi="Calibri" w:cs="Times New Roman"/>
          <w:sz w:val="24"/>
          <w:szCs w:val="24"/>
        </w:rPr>
        <w:t>Ello, dicho sea de paso, tampoco merece excusa alguna.</w:t>
      </w:r>
    </w:p>
    <w:p w:rsidR="0044351F" w:rsidRPr="006730E3" w:rsidRDefault="00B24A9B"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En fin, </w:t>
      </w:r>
      <w:r w:rsidR="00B35D2E" w:rsidRPr="006730E3">
        <w:rPr>
          <w:rFonts w:ascii="Calibri" w:hAnsi="Calibri" w:cs="Times New Roman"/>
          <w:sz w:val="24"/>
          <w:szCs w:val="24"/>
        </w:rPr>
        <w:t xml:space="preserve">nos encontramos con una regulación </w:t>
      </w:r>
      <w:r w:rsidR="009C07A0" w:rsidRPr="006730E3">
        <w:rPr>
          <w:rFonts w:ascii="Calibri" w:hAnsi="Calibri" w:cs="Times New Roman"/>
          <w:sz w:val="24"/>
          <w:szCs w:val="24"/>
        </w:rPr>
        <w:t>que es el resultado</w:t>
      </w:r>
      <w:r w:rsidR="00B35D2E" w:rsidRPr="006730E3">
        <w:rPr>
          <w:rFonts w:ascii="Calibri" w:hAnsi="Calibri" w:cs="Times New Roman"/>
          <w:sz w:val="24"/>
          <w:szCs w:val="24"/>
        </w:rPr>
        <w:t xml:space="preserve"> de haber legislado, como bien se ha dicho, dando palos de ciego</w:t>
      </w:r>
      <w:r w:rsidR="00B35D2E" w:rsidRPr="006730E3">
        <w:rPr>
          <w:rStyle w:val="Refdenotaalpie"/>
          <w:rFonts w:ascii="Calibri" w:hAnsi="Calibri" w:cs="Times New Roman"/>
          <w:sz w:val="24"/>
          <w:szCs w:val="24"/>
        </w:rPr>
        <w:footnoteReference w:id="124"/>
      </w:r>
      <w:r w:rsidR="00B35D2E" w:rsidRPr="006730E3">
        <w:rPr>
          <w:rFonts w:ascii="Calibri" w:hAnsi="Calibri" w:cs="Times New Roman"/>
          <w:sz w:val="24"/>
          <w:szCs w:val="24"/>
        </w:rPr>
        <w:t xml:space="preserve">. Y dado que finalizamos nuestro análisis refiriéndonos nuevamente a </w:t>
      </w:r>
      <w:r w:rsidR="00DD1017" w:rsidRPr="006730E3">
        <w:rPr>
          <w:rFonts w:ascii="Calibri" w:hAnsi="Calibri" w:cs="Times New Roman"/>
          <w:sz w:val="24"/>
          <w:szCs w:val="24"/>
        </w:rPr>
        <w:t xml:space="preserve">los </w:t>
      </w:r>
      <w:r w:rsidR="00B35D2E" w:rsidRPr="006730E3">
        <w:rPr>
          <w:rFonts w:ascii="Calibri" w:hAnsi="Calibri" w:cs="Times New Roman"/>
          <w:sz w:val="24"/>
          <w:szCs w:val="24"/>
        </w:rPr>
        <w:t>distintos calificativos</w:t>
      </w:r>
      <w:r w:rsidR="00DD1017" w:rsidRPr="006730E3">
        <w:rPr>
          <w:rFonts w:ascii="Calibri" w:hAnsi="Calibri" w:cs="Times New Roman"/>
          <w:sz w:val="24"/>
          <w:szCs w:val="24"/>
        </w:rPr>
        <w:t xml:space="preserve"> </w:t>
      </w:r>
      <w:r w:rsidR="00D33B5C" w:rsidRPr="006730E3">
        <w:rPr>
          <w:rFonts w:ascii="Calibri" w:hAnsi="Calibri" w:cs="Times New Roman"/>
          <w:sz w:val="24"/>
          <w:szCs w:val="24"/>
        </w:rPr>
        <w:t>que se han dirigido contra la norma gallega</w:t>
      </w:r>
      <w:r w:rsidR="00DD1017" w:rsidRPr="006730E3">
        <w:rPr>
          <w:rFonts w:ascii="Calibri" w:hAnsi="Calibri" w:cs="Times New Roman"/>
          <w:sz w:val="24"/>
          <w:szCs w:val="24"/>
        </w:rPr>
        <w:t>, no nos resistimos a la tentación de aumentar la lista de los mismos afirmando que la regulación de las parejas «no de hecho» de la DAT constituye un auténtico desaguisado.</w:t>
      </w:r>
    </w:p>
    <w:p w:rsidR="0044351F" w:rsidRPr="006730E3" w:rsidRDefault="0044351F" w:rsidP="00416B3A">
      <w:pPr>
        <w:spacing w:line="312" w:lineRule="auto"/>
        <w:jc w:val="both"/>
        <w:rPr>
          <w:rFonts w:ascii="Calibri" w:hAnsi="Calibri" w:cs="Times New Roman"/>
          <w:sz w:val="24"/>
          <w:szCs w:val="24"/>
        </w:rPr>
      </w:pPr>
    </w:p>
    <w:p w:rsidR="0044351F" w:rsidRPr="00A81597" w:rsidRDefault="00A81597" w:rsidP="00416B3A">
      <w:pPr>
        <w:spacing w:line="312" w:lineRule="auto"/>
        <w:jc w:val="both"/>
        <w:rPr>
          <w:rFonts w:ascii="Calibri" w:hAnsi="Calibri" w:cs="Times New Roman"/>
          <w:smallCaps/>
          <w:sz w:val="24"/>
          <w:szCs w:val="24"/>
        </w:rPr>
      </w:pPr>
      <w:r w:rsidRPr="00A81597">
        <w:rPr>
          <w:rFonts w:ascii="Calibri" w:hAnsi="Calibri" w:cs="Times New Roman"/>
          <w:smallCaps/>
          <w:sz w:val="24"/>
          <w:szCs w:val="24"/>
        </w:rPr>
        <w:t>B</w:t>
      </w:r>
      <w:r>
        <w:rPr>
          <w:rFonts w:ascii="Calibri" w:hAnsi="Calibri" w:cs="Times New Roman"/>
          <w:smallCaps/>
          <w:sz w:val="24"/>
          <w:szCs w:val="24"/>
        </w:rPr>
        <w:t>ib</w:t>
      </w:r>
      <w:r w:rsidRPr="00A81597">
        <w:rPr>
          <w:rFonts w:ascii="Calibri" w:hAnsi="Calibri" w:cs="Times New Roman"/>
          <w:smallCaps/>
          <w:sz w:val="24"/>
          <w:szCs w:val="24"/>
        </w:rPr>
        <w:t>liografía</w:t>
      </w:r>
    </w:p>
    <w:p w:rsidR="0044351F" w:rsidRPr="006730E3" w:rsidRDefault="0044351F"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Álvarez González</w:t>
      </w:r>
      <w:r w:rsidR="00D2118F">
        <w:rPr>
          <w:rFonts w:ascii="Calibri" w:hAnsi="Calibri" w:cs="Times New Roman"/>
          <w:sz w:val="24"/>
          <w:szCs w:val="24"/>
        </w:rPr>
        <w:t>, Santiago</w:t>
      </w:r>
      <w:r w:rsidRPr="006730E3">
        <w:rPr>
          <w:rFonts w:ascii="Calibri" w:hAnsi="Calibri" w:cs="Times New Roman"/>
          <w:sz w:val="24"/>
          <w:szCs w:val="24"/>
        </w:rPr>
        <w:t xml:space="preserve">, </w:t>
      </w:r>
      <w:proofErr w:type="gramStart"/>
      <w:r w:rsidRPr="006730E3">
        <w:rPr>
          <w:rFonts w:ascii="Calibri" w:hAnsi="Calibri" w:cs="Times New Roman"/>
          <w:sz w:val="24"/>
          <w:szCs w:val="24"/>
        </w:rPr>
        <w:t>«¿</w:t>
      </w:r>
      <w:proofErr w:type="gramEnd"/>
      <w:r w:rsidRPr="006730E3">
        <w:rPr>
          <w:rFonts w:ascii="Calibri" w:hAnsi="Calibri" w:cs="Times New Roman"/>
          <w:sz w:val="24"/>
          <w:szCs w:val="24"/>
        </w:rPr>
        <w:t xml:space="preserve">Derecho interregional civil en dos escalones?», </w:t>
      </w:r>
      <w:r w:rsidRPr="006730E3">
        <w:rPr>
          <w:rFonts w:ascii="Calibri" w:hAnsi="Calibri" w:cs="Times New Roman"/>
          <w:i/>
          <w:sz w:val="24"/>
          <w:szCs w:val="24"/>
        </w:rPr>
        <w:t>Libro Homenaje a Ildefonso Sánchez Mera</w:t>
      </w:r>
      <w:r w:rsidRPr="006730E3">
        <w:rPr>
          <w:rFonts w:ascii="Calibri" w:hAnsi="Calibri" w:cs="Times New Roman"/>
          <w:sz w:val="24"/>
          <w:szCs w:val="24"/>
        </w:rPr>
        <w:t xml:space="preserve"> , Colegio Notarial de La Coruña, Colegios Notarial</w:t>
      </w:r>
      <w:r w:rsidR="007B117B">
        <w:rPr>
          <w:rFonts w:ascii="Calibri" w:hAnsi="Calibri" w:cs="Times New Roman"/>
          <w:sz w:val="24"/>
          <w:szCs w:val="24"/>
        </w:rPr>
        <w:t>es de España, Madrid, 2002,</w:t>
      </w:r>
      <w:r w:rsidR="007B117B" w:rsidRPr="007B117B">
        <w:rPr>
          <w:rFonts w:ascii="Calibri" w:hAnsi="Calibri" w:cs="Times New Roman"/>
          <w:sz w:val="24"/>
          <w:szCs w:val="24"/>
        </w:rPr>
        <w:t xml:space="preserve"> </w:t>
      </w:r>
      <w:r w:rsidR="007B117B" w:rsidRPr="006730E3">
        <w:rPr>
          <w:rFonts w:ascii="Calibri" w:hAnsi="Calibri" w:cs="Times New Roman"/>
          <w:sz w:val="24"/>
          <w:szCs w:val="24"/>
        </w:rPr>
        <w:t>vol. II</w:t>
      </w:r>
      <w:r w:rsidR="007B117B">
        <w:rPr>
          <w:rFonts w:ascii="Calibri" w:hAnsi="Calibri" w:cs="Times New Roman"/>
          <w:sz w:val="24"/>
          <w:szCs w:val="24"/>
        </w:rPr>
        <w:t>, pp</w:t>
      </w:r>
      <w:r w:rsidRPr="006730E3">
        <w:rPr>
          <w:rFonts w:ascii="Calibri" w:hAnsi="Calibri" w:cs="Times New Roman"/>
          <w:sz w:val="24"/>
          <w:szCs w:val="24"/>
        </w:rPr>
        <w:t>. 1787-1808.</w:t>
      </w:r>
    </w:p>
    <w:p w:rsidR="0044351F" w:rsidRPr="006730E3" w:rsidRDefault="00032BEC"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Álvarez Lata, N</w:t>
      </w:r>
      <w:r w:rsidR="00D2118F">
        <w:rPr>
          <w:rFonts w:ascii="Calibri" w:hAnsi="Calibri" w:cs="Times New Roman"/>
          <w:sz w:val="24"/>
          <w:szCs w:val="24"/>
        </w:rPr>
        <w:t>atalia</w:t>
      </w:r>
      <w:r w:rsidRPr="006730E3">
        <w:rPr>
          <w:rFonts w:ascii="Calibri" w:hAnsi="Calibri" w:cs="Times New Roman"/>
          <w:sz w:val="24"/>
          <w:szCs w:val="24"/>
        </w:rPr>
        <w:t>, «Derecho de familia»,</w:t>
      </w:r>
      <w:r w:rsidR="007B117B">
        <w:rPr>
          <w:rFonts w:ascii="Calibri" w:hAnsi="Calibri" w:cs="Times New Roman"/>
          <w:sz w:val="24"/>
          <w:szCs w:val="24"/>
        </w:rPr>
        <w:t xml:space="preserve"> en </w:t>
      </w:r>
      <w:r w:rsidR="007B117B" w:rsidRPr="006730E3">
        <w:rPr>
          <w:rFonts w:ascii="Calibri" w:hAnsi="Calibri" w:cs="Times New Roman"/>
          <w:sz w:val="24"/>
          <w:szCs w:val="24"/>
        </w:rPr>
        <w:t>Busto Lago, J. M. (</w:t>
      </w:r>
      <w:proofErr w:type="spellStart"/>
      <w:r w:rsidR="007B117B" w:rsidRPr="006730E3">
        <w:rPr>
          <w:rFonts w:ascii="Calibri" w:hAnsi="Calibri" w:cs="Times New Roman"/>
          <w:sz w:val="24"/>
          <w:szCs w:val="24"/>
        </w:rPr>
        <w:t>dir.</w:t>
      </w:r>
      <w:proofErr w:type="spellEnd"/>
      <w:r w:rsidR="007B117B">
        <w:rPr>
          <w:rFonts w:ascii="Calibri" w:hAnsi="Calibri" w:cs="Times New Roman"/>
          <w:sz w:val="24"/>
          <w:szCs w:val="24"/>
        </w:rPr>
        <w:t xml:space="preserve">), </w:t>
      </w:r>
      <w:r w:rsidRPr="006730E3">
        <w:rPr>
          <w:rFonts w:ascii="Calibri" w:hAnsi="Calibri" w:cs="Times New Roman"/>
          <w:i/>
          <w:sz w:val="24"/>
          <w:szCs w:val="24"/>
        </w:rPr>
        <w:t>Curso de Derecho civil de Galicia</w:t>
      </w:r>
      <w:r w:rsidRPr="006730E3">
        <w:rPr>
          <w:rFonts w:ascii="Calibri" w:hAnsi="Calibri" w:cs="Times New Roman"/>
          <w:sz w:val="24"/>
          <w:szCs w:val="24"/>
        </w:rPr>
        <w:t xml:space="preserve">, Atelier, </w:t>
      </w:r>
      <w:r w:rsidR="00DA6F9E" w:rsidRPr="006730E3">
        <w:rPr>
          <w:rFonts w:ascii="Calibri" w:hAnsi="Calibri" w:cs="Times New Roman"/>
          <w:sz w:val="24"/>
          <w:szCs w:val="24"/>
        </w:rPr>
        <w:t>Barcelona,</w:t>
      </w:r>
      <w:r w:rsidRPr="006730E3">
        <w:rPr>
          <w:rFonts w:ascii="Calibri" w:hAnsi="Calibri" w:cs="Times New Roman"/>
          <w:sz w:val="24"/>
          <w:szCs w:val="24"/>
        </w:rPr>
        <w:t xml:space="preserve"> pp. 145-191</w:t>
      </w:r>
      <w:r w:rsidR="00DA6F9E" w:rsidRPr="006730E3">
        <w:rPr>
          <w:rFonts w:ascii="Calibri" w:hAnsi="Calibri" w:cs="Times New Roman"/>
          <w:sz w:val="24"/>
          <w:szCs w:val="24"/>
        </w:rPr>
        <w:t>.</w:t>
      </w:r>
    </w:p>
    <w:p w:rsidR="0044351F" w:rsidRPr="006730E3" w:rsidRDefault="00D2118F" w:rsidP="00416B3A">
      <w:pPr>
        <w:spacing w:line="312" w:lineRule="auto"/>
        <w:jc w:val="both"/>
        <w:rPr>
          <w:rFonts w:ascii="Calibri" w:hAnsi="Calibri" w:cs="Times New Roman"/>
          <w:sz w:val="24"/>
          <w:szCs w:val="24"/>
        </w:rPr>
      </w:pPr>
      <w:proofErr w:type="spellStart"/>
      <w:r>
        <w:rPr>
          <w:rFonts w:ascii="Calibri" w:hAnsi="Calibri" w:cs="Times New Roman"/>
          <w:smallCaps/>
          <w:sz w:val="24"/>
          <w:szCs w:val="24"/>
        </w:rPr>
        <w:lastRenderedPageBreak/>
        <w:t>Amunátegui</w:t>
      </w:r>
      <w:proofErr w:type="spellEnd"/>
      <w:r>
        <w:rPr>
          <w:rFonts w:ascii="Calibri" w:hAnsi="Calibri" w:cs="Times New Roman"/>
          <w:smallCaps/>
          <w:sz w:val="24"/>
          <w:szCs w:val="24"/>
        </w:rPr>
        <w:t xml:space="preserve"> Rodríguez, </w:t>
      </w:r>
      <w:r w:rsidRPr="00D2118F">
        <w:rPr>
          <w:rFonts w:ascii="Calibri" w:hAnsi="Calibri" w:cs="Times New Roman"/>
          <w:sz w:val="24"/>
          <w:szCs w:val="24"/>
        </w:rPr>
        <w:t>Cristina</w:t>
      </w:r>
      <w:r w:rsidR="0044351F" w:rsidRPr="00D2118F">
        <w:rPr>
          <w:rFonts w:ascii="Calibri" w:hAnsi="Calibri" w:cs="Times New Roman"/>
          <w:sz w:val="24"/>
          <w:szCs w:val="24"/>
        </w:rPr>
        <w:t xml:space="preserve"> de,</w:t>
      </w:r>
      <w:r w:rsidR="0044351F" w:rsidRPr="006730E3">
        <w:rPr>
          <w:rFonts w:ascii="Calibri" w:hAnsi="Calibri" w:cs="Times New Roman"/>
          <w:smallCaps/>
          <w:sz w:val="24"/>
          <w:szCs w:val="24"/>
        </w:rPr>
        <w:t xml:space="preserve"> «</w:t>
      </w:r>
      <w:r w:rsidR="0044351F" w:rsidRPr="006730E3">
        <w:rPr>
          <w:rFonts w:ascii="Calibri" w:hAnsi="Calibri" w:cs="Times New Roman"/>
          <w:sz w:val="24"/>
          <w:szCs w:val="24"/>
        </w:rPr>
        <w:t>La situación actual de las parejas no casadas</w:t>
      </w:r>
      <w:r w:rsidR="0044351F" w:rsidRPr="006730E3">
        <w:rPr>
          <w:rFonts w:ascii="Calibri" w:hAnsi="Calibri" w:cs="Times New Roman"/>
          <w:smallCaps/>
          <w:sz w:val="24"/>
          <w:szCs w:val="24"/>
        </w:rPr>
        <w:t xml:space="preserve">», </w:t>
      </w:r>
      <w:hyperlink r:id="rId9" w:history="1">
        <w:r w:rsidR="0044351F" w:rsidRPr="006730E3">
          <w:rPr>
            <w:rStyle w:val="Hipervnculo"/>
            <w:rFonts w:ascii="Calibri" w:hAnsi="Calibri" w:cs="Times New Roman"/>
            <w:i/>
            <w:color w:val="auto"/>
            <w:sz w:val="24"/>
            <w:szCs w:val="24"/>
            <w:u w:val="none"/>
            <w:bdr w:val="none" w:sz="0" w:space="0" w:color="auto" w:frame="1"/>
          </w:rPr>
          <w:t>Indret: Revista para el Análisis del Derecho</w:t>
        </w:r>
      </w:hyperlink>
      <w:r w:rsidR="007B117B">
        <w:rPr>
          <w:rFonts w:ascii="Calibri" w:hAnsi="Calibri" w:cs="Times New Roman"/>
          <w:sz w:val="24"/>
          <w:szCs w:val="24"/>
          <w:bdr w:val="none" w:sz="0" w:space="0" w:color="auto" w:frame="1"/>
        </w:rPr>
        <w:t xml:space="preserve">, </w:t>
      </w:r>
      <w:proofErr w:type="spellStart"/>
      <w:r w:rsidR="007B117B">
        <w:rPr>
          <w:rFonts w:ascii="Calibri" w:hAnsi="Calibri" w:cs="Times New Roman"/>
          <w:sz w:val="24"/>
          <w:szCs w:val="24"/>
          <w:bdr w:val="none" w:sz="0" w:space="0" w:color="auto" w:frame="1"/>
        </w:rPr>
        <w:t>núm</w:t>
      </w:r>
      <w:proofErr w:type="spellEnd"/>
      <w:r w:rsidR="007B117B">
        <w:rPr>
          <w:rFonts w:ascii="Calibri" w:hAnsi="Calibri" w:cs="Times New Roman"/>
          <w:sz w:val="24"/>
          <w:szCs w:val="24"/>
          <w:bdr w:val="none" w:sz="0" w:space="0" w:color="auto" w:frame="1"/>
        </w:rPr>
        <w:t xml:space="preserve"> 3, 2015, pp. 1-46. Disponible en https://dialnet.unirioja.es/</w:t>
      </w:r>
      <w:r w:rsidR="0044351F" w:rsidRPr="006730E3">
        <w:rPr>
          <w:rFonts w:ascii="Calibri" w:hAnsi="Calibri" w:cs="Times New Roman"/>
          <w:sz w:val="24"/>
          <w:szCs w:val="24"/>
          <w:bdr w:val="none" w:sz="0" w:space="0" w:color="auto" w:frame="1"/>
        </w:rPr>
        <w:t xml:space="preserve"> </w:t>
      </w:r>
      <w:r w:rsidR="007B117B">
        <w:rPr>
          <w:rFonts w:ascii="Calibri" w:hAnsi="Calibri" w:cs="Times New Roman"/>
          <w:sz w:val="24"/>
          <w:szCs w:val="24"/>
          <w:bdr w:val="none" w:sz="0" w:space="0" w:color="auto" w:frame="1"/>
        </w:rPr>
        <w:t xml:space="preserve">[Consulta: 12 octubre </w:t>
      </w:r>
      <w:r w:rsidR="0044351F" w:rsidRPr="006730E3">
        <w:rPr>
          <w:rFonts w:ascii="Calibri" w:hAnsi="Calibri" w:cs="Times New Roman"/>
          <w:sz w:val="24"/>
          <w:szCs w:val="24"/>
          <w:bdr w:val="none" w:sz="0" w:space="0" w:color="auto" w:frame="1"/>
        </w:rPr>
        <w:t>2018</w:t>
      </w:r>
      <w:r w:rsidR="007B117B">
        <w:rPr>
          <w:rFonts w:ascii="Calibri" w:hAnsi="Calibri" w:cs="Times New Roman"/>
          <w:sz w:val="24"/>
          <w:szCs w:val="24"/>
          <w:bdr w:val="none" w:sz="0" w:space="0" w:color="auto" w:frame="1"/>
        </w:rPr>
        <w:t>]</w:t>
      </w:r>
      <w:r w:rsidR="0044351F" w:rsidRPr="006730E3">
        <w:rPr>
          <w:rFonts w:ascii="Calibri" w:hAnsi="Calibri" w:cs="Times New Roman"/>
          <w:sz w:val="24"/>
          <w:szCs w:val="24"/>
          <w:bdr w:val="none" w:sz="0" w:space="0" w:color="auto" w:frame="1"/>
        </w:rPr>
        <w:t>.</w:t>
      </w:r>
    </w:p>
    <w:p w:rsidR="0044351F" w:rsidRPr="006730E3" w:rsidRDefault="00D2118F" w:rsidP="00416B3A">
      <w:pPr>
        <w:spacing w:line="312" w:lineRule="auto"/>
        <w:jc w:val="both"/>
        <w:rPr>
          <w:rFonts w:ascii="Calibri" w:hAnsi="Calibri" w:cs="Times New Roman"/>
          <w:sz w:val="24"/>
          <w:szCs w:val="24"/>
        </w:rPr>
      </w:pPr>
      <w:proofErr w:type="spellStart"/>
      <w:r>
        <w:rPr>
          <w:rFonts w:ascii="Calibri" w:hAnsi="Calibri" w:cs="Times New Roman"/>
          <w:bCs/>
          <w:smallCaps/>
          <w:sz w:val="24"/>
          <w:szCs w:val="24"/>
        </w:rPr>
        <w:t>Bercovitz</w:t>
      </w:r>
      <w:proofErr w:type="spellEnd"/>
      <w:r>
        <w:rPr>
          <w:rFonts w:ascii="Calibri" w:hAnsi="Calibri" w:cs="Times New Roman"/>
          <w:bCs/>
          <w:smallCaps/>
          <w:sz w:val="24"/>
          <w:szCs w:val="24"/>
        </w:rPr>
        <w:t xml:space="preserve"> Rodríguez-Cano, </w:t>
      </w:r>
      <w:r w:rsidRPr="00D2118F">
        <w:rPr>
          <w:rFonts w:ascii="Calibri" w:hAnsi="Calibri" w:cs="Times New Roman"/>
          <w:bCs/>
          <w:sz w:val="24"/>
          <w:szCs w:val="24"/>
        </w:rPr>
        <w:t>Rodrigo</w:t>
      </w:r>
      <w:r w:rsidR="00E63D58" w:rsidRPr="006730E3">
        <w:rPr>
          <w:rFonts w:ascii="Calibri" w:hAnsi="Calibri" w:cs="Times New Roman"/>
          <w:bCs/>
          <w:smallCaps/>
          <w:sz w:val="24"/>
          <w:szCs w:val="24"/>
        </w:rPr>
        <w:t>,</w:t>
      </w:r>
      <w:r w:rsidR="00E63D58" w:rsidRPr="006730E3">
        <w:rPr>
          <w:rFonts w:ascii="Calibri" w:hAnsi="Calibri" w:cs="Times New Roman"/>
          <w:bCs/>
          <w:sz w:val="24"/>
          <w:szCs w:val="24"/>
        </w:rPr>
        <w:t xml:space="preserve"> «La vuelta al redil», </w:t>
      </w:r>
      <w:r w:rsidR="00E63D58" w:rsidRPr="006730E3">
        <w:rPr>
          <w:rFonts w:ascii="Calibri" w:hAnsi="Calibri" w:cs="Times New Roman"/>
          <w:i/>
          <w:sz w:val="24"/>
          <w:szCs w:val="24"/>
        </w:rPr>
        <w:t>Revista Doctrinal Aranzadi Civil-Mercantil</w:t>
      </w:r>
      <w:r w:rsidR="007B117B">
        <w:rPr>
          <w:rFonts w:ascii="Calibri" w:hAnsi="Calibri" w:cs="Times New Roman"/>
          <w:sz w:val="24"/>
          <w:szCs w:val="24"/>
        </w:rPr>
        <w:t xml:space="preserve">, núm. 27, 2007, pp. 1-2. Disponible en </w:t>
      </w:r>
      <w:r w:rsidR="00E63D58" w:rsidRPr="006730E3">
        <w:rPr>
          <w:rFonts w:ascii="Calibri" w:hAnsi="Calibri" w:cs="Times New Roman"/>
          <w:sz w:val="24"/>
          <w:szCs w:val="24"/>
        </w:rPr>
        <w:t>http:/</w:t>
      </w:r>
      <w:r w:rsidR="007B117B">
        <w:rPr>
          <w:rFonts w:ascii="Calibri" w:hAnsi="Calibri" w:cs="Times New Roman"/>
          <w:sz w:val="24"/>
          <w:szCs w:val="24"/>
        </w:rPr>
        <w:t>/aranzadi.aranzadidigital.es</w:t>
      </w:r>
      <w:r w:rsidR="00E63D58" w:rsidRPr="006730E3">
        <w:rPr>
          <w:rFonts w:ascii="Calibri" w:hAnsi="Calibri" w:cs="Times New Roman"/>
          <w:sz w:val="24"/>
          <w:szCs w:val="24"/>
        </w:rPr>
        <w:t xml:space="preserve"> </w:t>
      </w:r>
      <w:r w:rsidR="007B117B">
        <w:rPr>
          <w:rFonts w:ascii="Calibri" w:hAnsi="Calibri" w:cs="Times New Roman"/>
          <w:sz w:val="24"/>
          <w:szCs w:val="24"/>
        </w:rPr>
        <w:t xml:space="preserve">[Consulta: 14 septiembre </w:t>
      </w:r>
      <w:r w:rsidR="00E63D58" w:rsidRPr="006730E3">
        <w:rPr>
          <w:rFonts w:ascii="Calibri" w:hAnsi="Calibri" w:cs="Times New Roman"/>
          <w:sz w:val="24"/>
          <w:szCs w:val="24"/>
        </w:rPr>
        <w:t>2018</w:t>
      </w:r>
      <w:r w:rsidR="007B117B">
        <w:rPr>
          <w:rFonts w:ascii="Calibri" w:hAnsi="Calibri" w:cs="Times New Roman"/>
          <w:sz w:val="24"/>
          <w:szCs w:val="24"/>
        </w:rPr>
        <w:t>]</w:t>
      </w:r>
      <w:r w:rsidR="00E63D58" w:rsidRPr="006730E3">
        <w:rPr>
          <w:rFonts w:ascii="Calibri" w:hAnsi="Calibri" w:cs="Times New Roman"/>
          <w:sz w:val="24"/>
          <w:szCs w:val="24"/>
        </w:rPr>
        <w:t xml:space="preserve">. </w:t>
      </w:r>
    </w:p>
    <w:p w:rsidR="0044351F" w:rsidRPr="006730E3" w:rsidRDefault="00032BEC"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Busto Lago</w:t>
      </w:r>
      <w:r w:rsidR="00D2118F">
        <w:rPr>
          <w:rFonts w:ascii="Calibri" w:hAnsi="Calibri" w:cs="Times New Roman"/>
          <w:sz w:val="24"/>
          <w:szCs w:val="24"/>
        </w:rPr>
        <w:t>, José Manuel</w:t>
      </w:r>
      <w:r w:rsidRPr="006730E3">
        <w:rPr>
          <w:rFonts w:ascii="Calibri" w:hAnsi="Calibri" w:cs="Times New Roman"/>
          <w:sz w:val="24"/>
          <w:szCs w:val="24"/>
        </w:rPr>
        <w:t>, «Comentario a la Disposición adicional tercera»,</w:t>
      </w:r>
      <w:r w:rsidR="007B117B">
        <w:rPr>
          <w:rFonts w:ascii="Calibri" w:hAnsi="Calibri" w:cs="Times New Roman"/>
          <w:sz w:val="24"/>
          <w:szCs w:val="24"/>
        </w:rPr>
        <w:t xml:space="preserve"> en </w:t>
      </w:r>
      <w:r w:rsidR="007B117B" w:rsidRPr="006730E3">
        <w:rPr>
          <w:rFonts w:ascii="Calibri" w:hAnsi="Calibri" w:cs="Times New Roman"/>
          <w:sz w:val="24"/>
          <w:szCs w:val="24"/>
        </w:rPr>
        <w:t xml:space="preserve">Rebolledo Varela, A. L. (coord.), </w:t>
      </w:r>
      <w:r w:rsidRPr="006730E3">
        <w:rPr>
          <w:rFonts w:ascii="Calibri" w:hAnsi="Calibri" w:cs="Times New Roman"/>
          <w:sz w:val="24"/>
          <w:szCs w:val="24"/>
        </w:rPr>
        <w:t xml:space="preserve"> </w:t>
      </w:r>
      <w:r w:rsidRPr="006730E3">
        <w:rPr>
          <w:rFonts w:ascii="Calibri" w:hAnsi="Calibri" w:cs="Times New Roman"/>
          <w:i/>
          <w:sz w:val="24"/>
          <w:szCs w:val="24"/>
        </w:rPr>
        <w:t xml:space="preserve">Comentarios a la Ley de Derecho civil de Galicia. Ley 2/2006, de 14 de junio, </w:t>
      </w:r>
      <w:r w:rsidRPr="006730E3">
        <w:rPr>
          <w:rFonts w:ascii="Calibri" w:hAnsi="Calibri" w:cs="Times New Roman"/>
          <w:sz w:val="24"/>
          <w:szCs w:val="24"/>
        </w:rPr>
        <w:t xml:space="preserve">Thomson Aranzadi, </w:t>
      </w:r>
      <w:proofErr w:type="spellStart"/>
      <w:r w:rsidRPr="006730E3">
        <w:rPr>
          <w:rFonts w:ascii="Calibri" w:hAnsi="Calibri" w:cs="Times New Roman"/>
          <w:sz w:val="24"/>
          <w:szCs w:val="24"/>
        </w:rPr>
        <w:t>Cizur</w:t>
      </w:r>
      <w:proofErr w:type="spellEnd"/>
      <w:r w:rsidRPr="006730E3">
        <w:rPr>
          <w:rFonts w:ascii="Calibri" w:hAnsi="Calibri" w:cs="Times New Roman"/>
          <w:sz w:val="24"/>
          <w:szCs w:val="24"/>
        </w:rPr>
        <w:t xml:space="preserve"> Menor (Navarra), 2008, pp. 1365-1379.</w:t>
      </w:r>
    </w:p>
    <w:p w:rsidR="0044351F" w:rsidRPr="006730E3" w:rsidRDefault="00626AA9" w:rsidP="00416B3A">
      <w:pPr>
        <w:spacing w:line="312" w:lineRule="auto"/>
        <w:jc w:val="both"/>
        <w:rPr>
          <w:rFonts w:ascii="Calibri" w:hAnsi="Calibri" w:cs="Times New Roman"/>
          <w:sz w:val="24"/>
          <w:szCs w:val="24"/>
        </w:rPr>
      </w:pPr>
      <w:r w:rsidRPr="00A81597">
        <w:rPr>
          <w:rFonts w:ascii="Calibri" w:hAnsi="Calibri" w:cs="Times New Roman"/>
          <w:smallCaps/>
          <w:sz w:val="24"/>
          <w:szCs w:val="24"/>
        </w:rPr>
        <w:t>Calvo Vidal</w:t>
      </w:r>
      <w:r w:rsidR="00A81597" w:rsidRPr="00A81597">
        <w:rPr>
          <w:rFonts w:ascii="Calibri" w:hAnsi="Calibri" w:cs="Times New Roman"/>
          <w:sz w:val="24"/>
          <w:szCs w:val="24"/>
        </w:rPr>
        <w:t>, Isidoro</w:t>
      </w:r>
      <w:r w:rsidR="00032BEC" w:rsidRPr="00A81597">
        <w:rPr>
          <w:rFonts w:ascii="Calibri" w:hAnsi="Calibri" w:cs="Times New Roman"/>
          <w:sz w:val="24"/>
          <w:szCs w:val="24"/>
        </w:rPr>
        <w:t xml:space="preserve"> A.</w:t>
      </w:r>
      <w:r w:rsidRPr="00A81597">
        <w:rPr>
          <w:rFonts w:ascii="Calibri" w:hAnsi="Calibri" w:cs="Times New Roman"/>
          <w:sz w:val="24"/>
          <w:szCs w:val="24"/>
        </w:rPr>
        <w:t xml:space="preserve">, </w:t>
      </w:r>
      <w:r w:rsidRPr="00A81597">
        <w:rPr>
          <w:rFonts w:ascii="Calibri" w:hAnsi="Calibri" w:cs="Times New Roman"/>
          <w:smallCaps/>
          <w:sz w:val="24"/>
          <w:szCs w:val="24"/>
        </w:rPr>
        <w:t>Cantero Núñez</w:t>
      </w:r>
      <w:r w:rsidR="00D2118F" w:rsidRPr="00A81597">
        <w:rPr>
          <w:rFonts w:ascii="Calibri" w:hAnsi="Calibri" w:cs="Times New Roman"/>
          <w:sz w:val="24"/>
          <w:szCs w:val="24"/>
        </w:rPr>
        <w:t>, Federico</w:t>
      </w:r>
      <w:r w:rsidR="00F94492" w:rsidRPr="00A81597">
        <w:rPr>
          <w:rFonts w:ascii="Calibri" w:hAnsi="Calibri" w:cs="Times New Roman"/>
          <w:sz w:val="24"/>
          <w:szCs w:val="24"/>
        </w:rPr>
        <w:t>,</w:t>
      </w:r>
      <w:r w:rsidRPr="00A81597">
        <w:rPr>
          <w:rFonts w:ascii="Calibri" w:hAnsi="Calibri" w:cs="Times New Roman"/>
          <w:sz w:val="24"/>
          <w:szCs w:val="24"/>
        </w:rPr>
        <w:t xml:space="preserve"> </w:t>
      </w:r>
      <w:r w:rsidRPr="00A81597">
        <w:rPr>
          <w:rFonts w:ascii="Calibri" w:hAnsi="Calibri" w:cs="Times New Roman"/>
          <w:smallCaps/>
          <w:sz w:val="24"/>
          <w:szCs w:val="24"/>
        </w:rPr>
        <w:t>Sanmartín Losada</w:t>
      </w:r>
      <w:r w:rsidR="00032BEC" w:rsidRPr="00A81597">
        <w:rPr>
          <w:rFonts w:ascii="Calibri" w:hAnsi="Calibri" w:cs="Times New Roman"/>
          <w:sz w:val="24"/>
          <w:szCs w:val="24"/>
        </w:rPr>
        <w:t>, R</w:t>
      </w:r>
      <w:r w:rsidR="00A81597" w:rsidRPr="00A81597">
        <w:rPr>
          <w:rFonts w:ascii="Calibri" w:hAnsi="Calibri" w:cs="Times New Roman"/>
          <w:sz w:val="24"/>
          <w:szCs w:val="24"/>
        </w:rPr>
        <w:t>afael</w:t>
      </w:r>
      <w:r w:rsidR="00032BEC" w:rsidRPr="00A81597">
        <w:rPr>
          <w:rFonts w:ascii="Calibri" w:hAnsi="Calibri" w:cs="Times New Roman"/>
          <w:sz w:val="24"/>
          <w:szCs w:val="24"/>
        </w:rPr>
        <w:t xml:space="preserve">, «Comentario a la </w:t>
      </w:r>
      <w:r w:rsidR="00032BEC" w:rsidRPr="006730E3">
        <w:rPr>
          <w:rFonts w:ascii="Calibri" w:hAnsi="Calibri" w:cs="Times New Roman"/>
          <w:sz w:val="24"/>
          <w:szCs w:val="24"/>
        </w:rPr>
        <w:t>Disposición adicional t</w:t>
      </w:r>
      <w:r w:rsidRPr="006730E3">
        <w:rPr>
          <w:rFonts w:ascii="Calibri" w:hAnsi="Calibri" w:cs="Times New Roman"/>
          <w:sz w:val="24"/>
          <w:szCs w:val="24"/>
        </w:rPr>
        <w:t>ercera»,</w:t>
      </w:r>
      <w:r w:rsidR="007B117B">
        <w:rPr>
          <w:rFonts w:ascii="Calibri" w:hAnsi="Calibri" w:cs="Times New Roman"/>
          <w:sz w:val="24"/>
          <w:szCs w:val="24"/>
        </w:rPr>
        <w:t xml:space="preserve"> en </w:t>
      </w:r>
      <w:r w:rsidR="007B117B" w:rsidRPr="006730E3">
        <w:rPr>
          <w:rFonts w:ascii="Calibri" w:hAnsi="Calibri" w:cs="Times New Roman"/>
          <w:sz w:val="24"/>
          <w:szCs w:val="24"/>
        </w:rPr>
        <w:t xml:space="preserve">Cora </w:t>
      </w:r>
      <w:proofErr w:type="spellStart"/>
      <w:r w:rsidR="007B117B" w:rsidRPr="006730E3">
        <w:rPr>
          <w:rFonts w:ascii="Calibri" w:hAnsi="Calibri" w:cs="Times New Roman"/>
          <w:sz w:val="24"/>
          <w:szCs w:val="24"/>
        </w:rPr>
        <w:t>Gue</w:t>
      </w:r>
      <w:r w:rsidR="007B117B">
        <w:rPr>
          <w:rFonts w:ascii="Calibri" w:hAnsi="Calibri" w:cs="Times New Roman"/>
          <w:sz w:val="24"/>
          <w:szCs w:val="24"/>
        </w:rPr>
        <w:t>rreiro</w:t>
      </w:r>
      <w:proofErr w:type="spellEnd"/>
      <w:r w:rsidR="007B117B">
        <w:rPr>
          <w:rFonts w:ascii="Calibri" w:hAnsi="Calibri" w:cs="Times New Roman"/>
          <w:sz w:val="24"/>
          <w:szCs w:val="24"/>
        </w:rPr>
        <w:t>, J. M. et al. (</w:t>
      </w:r>
      <w:proofErr w:type="spellStart"/>
      <w:r w:rsidR="007B117B">
        <w:rPr>
          <w:rFonts w:ascii="Calibri" w:hAnsi="Calibri" w:cs="Times New Roman"/>
          <w:sz w:val="24"/>
          <w:szCs w:val="24"/>
        </w:rPr>
        <w:t>coords</w:t>
      </w:r>
      <w:proofErr w:type="spellEnd"/>
      <w:r w:rsidR="007B117B">
        <w:rPr>
          <w:rFonts w:ascii="Calibri" w:hAnsi="Calibri" w:cs="Times New Roman"/>
          <w:sz w:val="24"/>
          <w:szCs w:val="24"/>
        </w:rPr>
        <w:t>.),</w:t>
      </w:r>
      <w:r w:rsidRPr="006730E3">
        <w:rPr>
          <w:rFonts w:ascii="Calibri" w:hAnsi="Calibri" w:cs="Times New Roman"/>
          <w:sz w:val="24"/>
          <w:szCs w:val="24"/>
        </w:rPr>
        <w:t xml:space="preserve"> </w:t>
      </w:r>
      <w:r w:rsidRPr="006730E3">
        <w:rPr>
          <w:rFonts w:ascii="Calibri" w:hAnsi="Calibri" w:cs="Times New Roman"/>
          <w:i/>
          <w:sz w:val="24"/>
          <w:szCs w:val="24"/>
        </w:rPr>
        <w:t>Derecho de sucesiones y régimen económico familiar de Galicia. Comentarios a los Títulos IX y X y a la Disposición Adicional Tercera de la Ley 2/2006, de 14 de junio y a la Ley 10/2007, de 28 de junio</w:t>
      </w:r>
      <w:r w:rsidR="00D17FE7" w:rsidRPr="006730E3">
        <w:rPr>
          <w:rFonts w:ascii="Calibri" w:hAnsi="Calibri" w:cs="Times New Roman"/>
          <w:sz w:val="24"/>
          <w:szCs w:val="24"/>
        </w:rPr>
        <w:t>,</w:t>
      </w:r>
      <w:r w:rsidR="007B117B">
        <w:rPr>
          <w:rFonts w:ascii="Calibri" w:hAnsi="Calibri" w:cs="Times New Roman"/>
          <w:sz w:val="24"/>
          <w:szCs w:val="24"/>
        </w:rPr>
        <w:t xml:space="preserve"> </w:t>
      </w:r>
      <w:r w:rsidRPr="006730E3">
        <w:rPr>
          <w:rFonts w:ascii="Calibri" w:hAnsi="Calibri" w:cs="Times New Roman"/>
          <w:sz w:val="24"/>
          <w:szCs w:val="24"/>
        </w:rPr>
        <w:t>Colegio Notarial de Galicia/Colegios Notariales de España/Consejo General</w:t>
      </w:r>
      <w:r w:rsidR="00032BEC" w:rsidRPr="006730E3">
        <w:rPr>
          <w:rFonts w:ascii="Calibri" w:hAnsi="Calibri" w:cs="Times New Roman"/>
          <w:sz w:val="24"/>
          <w:szCs w:val="24"/>
        </w:rPr>
        <w:t xml:space="preserve"> del Notariado, Madrid, 2007,</w:t>
      </w:r>
      <w:r w:rsidR="007B117B">
        <w:rPr>
          <w:rFonts w:ascii="Calibri" w:hAnsi="Calibri" w:cs="Times New Roman"/>
          <w:sz w:val="24"/>
          <w:szCs w:val="24"/>
        </w:rPr>
        <w:t xml:space="preserve"> </w:t>
      </w:r>
      <w:r w:rsidR="007B117B" w:rsidRPr="006730E3">
        <w:rPr>
          <w:rFonts w:ascii="Calibri" w:hAnsi="Calibri" w:cs="Times New Roman"/>
          <w:sz w:val="24"/>
          <w:szCs w:val="24"/>
        </w:rPr>
        <w:t>vol. II</w:t>
      </w:r>
      <w:r w:rsidR="007B117B">
        <w:rPr>
          <w:rFonts w:ascii="Calibri" w:hAnsi="Calibri" w:cs="Times New Roman"/>
          <w:sz w:val="24"/>
          <w:szCs w:val="24"/>
        </w:rPr>
        <w:t>,</w:t>
      </w:r>
      <w:r w:rsidR="00032BEC" w:rsidRPr="006730E3">
        <w:rPr>
          <w:rFonts w:ascii="Calibri" w:hAnsi="Calibri" w:cs="Times New Roman"/>
          <w:sz w:val="24"/>
          <w:szCs w:val="24"/>
        </w:rPr>
        <w:t xml:space="preserve"> pp. 1263</w:t>
      </w:r>
      <w:r w:rsidRPr="006730E3">
        <w:rPr>
          <w:rFonts w:ascii="Calibri" w:hAnsi="Calibri" w:cs="Times New Roman"/>
          <w:sz w:val="24"/>
          <w:szCs w:val="24"/>
        </w:rPr>
        <w:t>-1336.</w:t>
      </w:r>
    </w:p>
    <w:p w:rsidR="0044351F" w:rsidRPr="006730E3" w:rsidRDefault="00D2118F"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Cantero Núñez, </w:t>
      </w:r>
      <w:r w:rsidRPr="00D2118F">
        <w:rPr>
          <w:rFonts w:ascii="Calibri" w:hAnsi="Calibri" w:cs="Times New Roman"/>
          <w:sz w:val="24"/>
          <w:szCs w:val="24"/>
        </w:rPr>
        <w:t>Federico</w:t>
      </w:r>
      <w:r w:rsidR="001A6056" w:rsidRPr="006730E3">
        <w:rPr>
          <w:rFonts w:ascii="Calibri" w:hAnsi="Calibri" w:cs="Times New Roman"/>
          <w:smallCaps/>
          <w:sz w:val="24"/>
          <w:szCs w:val="24"/>
        </w:rPr>
        <w:t>,</w:t>
      </w:r>
      <w:r w:rsidR="00DA6F9E" w:rsidRPr="006730E3">
        <w:rPr>
          <w:rFonts w:ascii="Calibri" w:hAnsi="Calibri" w:cs="Times New Roman"/>
          <w:smallCaps/>
          <w:sz w:val="24"/>
          <w:szCs w:val="24"/>
        </w:rPr>
        <w:t xml:space="preserve"> </w:t>
      </w:r>
      <w:proofErr w:type="spellStart"/>
      <w:r w:rsidR="00DA6F9E" w:rsidRPr="006730E3">
        <w:rPr>
          <w:rFonts w:ascii="Calibri" w:hAnsi="Calibri" w:cs="Times New Roman"/>
          <w:smallCaps/>
          <w:sz w:val="24"/>
          <w:szCs w:val="24"/>
        </w:rPr>
        <w:t>Legerén</w:t>
      </w:r>
      <w:proofErr w:type="spellEnd"/>
      <w:r w:rsidR="00DA6F9E" w:rsidRPr="006730E3">
        <w:rPr>
          <w:rFonts w:ascii="Calibri" w:hAnsi="Calibri" w:cs="Times New Roman"/>
          <w:smallCaps/>
          <w:sz w:val="24"/>
          <w:szCs w:val="24"/>
        </w:rPr>
        <w:t>-Molina, A</w:t>
      </w:r>
      <w:r>
        <w:rPr>
          <w:rFonts w:ascii="Calibri" w:hAnsi="Calibri" w:cs="Times New Roman"/>
          <w:sz w:val="24"/>
          <w:szCs w:val="24"/>
        </w:rPr>
        <w:t>ntonio</w:t>
      </w:r>
      <w:r w:rsidR="00DA6F9E" w:rsidRPr="006730E3">
        <w:rPr>
          <w:rFonts w:ascii="Calibri" w:hAnsi="Calibri" w:cs="Times New Roman"/>
          <w:sz w:val="24"/>
          <w:szCs w:val="24"/>
        </w:rPr>
        <w:t xml:space="preserve">, </w:t>
      </w:r>
      <w:r w:rsidR="00DA6F9E" w:rsidRPr="006730E3">
        <w:rPr>
          <w:rFonts w:ascii="Calibri" w:hAnsi="Calibri" w:cs="Times New Roman"/>
          <w:i/>
          <w:sz w:val="24"/>
          <w:szCs w:val="24"/>
        </w:rPr>
        <w:t xml:space="preserve">Las Parejas de hecho y de derecho (régimen jurídico de la convivencia more </w:t>
      </w:r>
      <w:proofErr w:type="spellStart"/>
      <w:r w:rsidR="00DA6F9E" w:rsidRPr="006730E3">
        <w:rPr>
          <w:rFonts w:ascii="Calibri" w:hAnsi="Calibri" w:cs="Times New Roman"/>
          <w:i/>
          <w:sz w:val="24"/>
          <w:szCs w:val="24"/>
        </w:rPr>
        <w:t>uxorio</w:t>
      </w:r>
      <w:proofErr w:type="spellEnd"/>
      <w:r w:rsidR="00DA6F9E" w:rsidRPr="006730E3">
        <w:rPr>
          <w:rFonts w:ascii="Calibri" w:hAnsi="Calibri" w:cs="Times New Roman"/>
          <w:i/>
          <w:sz w:val="24"/>
          <w:szCs w:val="24"/>
        </w:rPr>
        <w:t xml:space="preserve"> en España)</w:t>
      </w:r>
      <w:r w:rsidR="00DA6F9E" w:rsidRPr="006730E3">
        <w:rPr>
          <w:rFonts w:ascii="Calibri" w:hAnsi="Calibri" w:cs="Times New Roman"/>
          <w:sz w:val="24"/>
          <w:szCs w:val="24"/>
        </w:rPr>
        <w:t xml:space="preserve">, Thomson Reuters Aranzadi, </w:t>
      </w:r>
      <w:proofErr w:type="spellStart"/>
      <w:r w:rsidR="00DA6F9E" w:rsidRPr="006730E3">
        <w:rPr>
          <w:rFonts w:ascii="Calibri" w:hAnsi="Calibri" w:cs="Times New Roman"/>
          <w:sz w:val="24"/>
          <w:szCs w:val="24"/>
        </w:rPr>
        <w:t>Cizur</w:t>
      </w:r>
      <w:proofErr w:type="spellEnd"/>
      <w:r w:rsidR="00DA6F9E" w:rsidRPr="006730E3">
        <w:rPr>
          <w:rFonts w:ascii="Calibri" w:hAnsi="Calibri" w:cs="Times New Roman"/>
          <w:sz w:val="24"/>
          <w:szCs w:val="24"/>
        </w:rPr>
        <w:t xml:space="preserve"> Menor (Navarra), 2018.</w:t>
      </w:r>
    </w:p>
    <w:p w:rsidR="0044351F" w:rsidRPr="006730E3" w:rsidRDefault="00372B5D"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Díaz Martínez</w:t>
      </w:r>
      <w:r w:rsidR="00D2118F">
        <w:rPr>
          <w:rFonts w:ascii="Calibri" w:hAnsi="Calibri" w:cs="Times New Roman"/>
          <w:sz w:val="24"/>
          <w:szCs w:val="24"/>
        </w:rPr>
        <w:t>, Ana</w:t>
      </w:r>
      <w:r w:rsidRPr="006730E3">
        <w:rPr>
          <w:rFonts w:ascii="Calibri" w:hAnsi="Calibri" w:cs="Times New Roman"/>
          <w:sz w:val="24"/>
          <w:szCs w:val="24"/>
        </w:rPr>
        <w:t>, «Relaciones económicas de las uniones estables de pareja en el Derecho civil de Galicia: convivencia y ruptura»,</w:t>
      </w:r>
      <w:r w:rsidR="007B117B">
        <w:rPr>
          <w:rFonts w:ascii="Calibri" w:hAnsi="Calibri" w:cs="Times New Roman"/>
          <w:sz w:val="24"/>
          <w:szCs w:val="24"/>
        </w:rPr>
        <w:t xml:space="preserve"> en </w:t>
      </w:r>
      <w:r w:rsidR="007B117B" w:rsidRPr="006730E3">
        <w:rPr>
          <w:rFonts w:ascii="Calibri" w:hAnsi="Calibri" w:cs="Times New Roman"/>
          <w:sz w:val="24"/>
          <w:szCs w:val="24"/>
        </w:rPr>
        <w:t>Lledó Yagüe, F y</w:t>
      </w:r>
      <w:r w:rsidR="007B117B">
        <w:rPr>
          <w:rFonts w:ascii="Calibri" w:hAnsi="Calibri" w:cs="Times New Roman"/>
          <w:sz w:val="24"/>
          <w:szCs w:val="24"/>
        </w:rPr>
        <w:t xml:space="preserve"> Ferrer </w:t>
      </w:r>
      <w:proofErr w:type="spellStart"/>
      <w:r w:rsidR="007B117B">
        <w:rPr>
          <w:rFonts w:ascii="Calibri" w:hAnsi="Calibri" w:cs="Times New Roman"/>
          <w:sz w:val="24"/>
          <w:szCs w:val="24"/>
        </w:rPr>
        <w:t>Vanrell</w:t>
      </w:r>
      <w:proofErr w:type="spellEnd"/>
      <w:r w:rsidR="007B117B">
        <w:rPr>
          <w:rFonts w:ascii="Calibri" w:hAnsi="Calibri" w:cs="Times New Roman"/>
          <w:sz w:val="24"/>
          <w:szCs w:val="24"/>
        </w:rPr>
        <w:t>, M. P. (</w:t>
      </w:r>
      <w:proofErr w:type="spellStart"/>
      <w:r w:rsidR="007B117B">
        <w:rPr>
          <w:rFonts w:ascii="Calibri" w:hAnsi="Calibri" w:cs="Times New Roman"/>
          <w:sz w:val="24"/>
          <w:szCs w:val="24"/>
        </w:rPr>
        <w:t>dirs</w:t>
      </w:r>
      <w:proofErr w:type="spellEnd"/>
      <w:r w:rsidR="007B117B">
        <w:rPr>
          <w:rFonts w:ascii="Calibri" w:hAnsi="Calibri" w:cs="Times New Roman"/>
          <w:sz w:val="24"/>
          <w:szCs w:val="24"/>
        </w:rPr>
        <w:t>.),</w:t>
      </w:r>
      <w:r w:rsidRPr="006730E3">
        <w:rPr>
          <w:rFonts w:ascii="Calibri" w:hAnsi="Calibri" w:cs="Times New Roman"/>
          <w:sz w:val="24"/>
          <w:szCs w:val="24"/>
        </w:rPr>
        <w:t xml:space="preserve"> </w:t>
      </w:r>
      <w:r w:rsidRPr="006730E3">
        <w:rPr>
          <w:rFonts w:ascii="Calibri" w:hAnsi="Calibri" w:cs="Times New Roman"/>
          <w:i/>
          <w:sz w:val="24"/>
          <w:szCs w:val="24"/>
        </w:rPr>
        <w:t>Los regímenes económicos matrimoniales en los Derechos civiles forales o especiales</w:t>
      </w:r>
      <w:r w:rsidRPr="006730E3">
        <w:rPr>
          <w:rFonts w:ascii="Calibri" w:hAnsi="Calibri" w:cs="Times New Roman"/>
          <w:sz w:val="24"/>
          <w:szCs w:val="24"/>
        </w:rPr>
        <w:t xml:space="preserve">, </w:t>
      </w:r>
      <w:proofErr w:type="spellStart"/>
      <w:r w:rsidRPr="006730E3">
        <w:rPr>
          <w:rFonts w:ascii="Calibri" w:hAnsi="Calibri" w:cs="Times New Roman"/>
          <w:sz w:val="24"/>
          <w:szCs w:val="24"/>
        </w:rPr>
        <w:t>Dykinson</w:t>
      </w:r>
      <w:proofErr w:type="spellEnd"/>
      <w:r w:rsidRPr="006730E3">
        <w:rPr>
          <w:rFonts w:ascii="Calibri" w:hAnsi="Calibri" w:cs="Times New Roman"/>
          <w:sz w:val="24"/>
          <w:szCs w:val="24"/>
        </w:rPr>
        <w:t>, Madrid, 2010, pp. 579-629.</w:t>
      </w:r>
    </w:p>
    <w:p w:rsidR="0044351F" w:rsidRPr="006730E3" w:rsidRDefault="0044351F"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Espada Mallorquín</w:t>
      </w:r>
      <w:r w:rsidR="00D2118F">
        <w:rPr>
          <w:rFonts w:ascii="Calibri" w:hAnsi="Calibri" w:cs="Times New Roman"/>
          <w:sz w:val="24"/>
          <w:szCs w:val="24"/>
        </w:rPr>
        <w:t>, Susana</w:t>
      </w:r>
      <w:r w:rsidRPr="006730E3">
        <w:rPr>
          <w:rFonts w:ascii="Calibri" w:hAnsi="Calibri" w:cs="Times New Roman"/>
          <w:sz w:val="24"/>
          <w:szCs w:val="24"/>
        </w:rPr>
        <w:t xml:space="preserve">, </w:t>
      </w:r>
      <w:r w:rsidRPr="006730E3">
        <w:rPr>
          <w:rFonts w:ascii="Calibri" w:hAnsi="Calibri" w:cs="Times New Roman"/>
          <w:i/>
          <w:sz w:val="24"/>
          <w:szCs w:val="24"/>
        </w:rPr>
        <w:t>Los derechos sucesorios de las parejas de hecho</w:t>
      </w:r>
      <w:r w:rsidRPr="006730E3">
        <w:rPr>
          <w:rFonts w:ascii="Calibri" w:hAnsi="Calibri" w:cs="Times New Roman"/>
          <w:sz w:val="24"/>
          <w:szCs w:val="24"/>
        </w:rPr>
        <w:t xml:space="preserve">, Thomson </w:t>
      </w:r>
      <w:proofErr w:type="spellStart"/>
      <w:r w:rsidRPr="006730E3">
        <w:rPr>
          <w:rFonts w:ascii="Calibri" w:hAnsi="Calibri" w:cs="Times New Roman"/>
          <w:sz w:val="24"/>
          <w:szCs w:val="24"/>
        </w:rPr>
        <w:t>Civitas</w:t>
      </w:r>
      <w:proofErr w:type="spellEnd"/>
      <w:r w:rsidRPr="006730E3">
        <w:rPr>
          <w:rFonts w:ascii="Calibri" w:hAnsi="Calibri" w:cs="Times New Roman"/>
          <w:sz w:val="24"/>
          <w:szCs w:val="24"/>
        </w:rPr>
        <w:t xml:space="preserve">, </w:t>
      </w:r>
      <w:proofErr w:type="spellStart"/>
      <w:r w:rsidRPr="006730E3">
        <w:rPr>
          <w:rFonts w:ascii="Calibri" w:hAnsi="Calibri" w:cs="Times New Roman"/>
          <w:sz w:val="24"/>
          <w:szCs w:val="24"/>
        </w:rPr>
        <w:t>Cizur</w:t>
      </w:r>
      <w:proofErr w:type="spellEnd"/>
      <w:r w:rsidRPr="006730E3">
        <w:rPr>
          <w:rFonts w:ascii="Calibri" w:hAnsi="Calibri" w:cs="Times New Roman"/>
          <w:sz w:val="24"/>
          <w:szCs w:val="24"/>
        </w:rPr>
        <w:t xml:space="preserve"> Menor (Navarra), 2007.</w:t>
      </w:r>
    </w:p>
    <w:p w:rsidR="0044351F" w:rsidRPr="006730E3" w:rsidRDefault="00C53070" w:rsidP="00416B3A">
      <w:pPr>
        <w:spacing w:line="312" w:lineRule="auto"/>
        <w:jc w:val="both"/>
        <w:rPr>
          <w:rFonts w:ascii="Calibri" w:hAnsi="Calibri" w:cs="Times New Roman"/>
          <w:sz w:val="24"/>
          <w:szCs w:val="24"/>
        </w:rPr>
      </w:pPr>
      <w:proofErr w:type="spellStart"/>
      <w:r w:rsidRPr="006730E3">
        <w:rPr>
          <w:rFonts w:ascii="Calibri" w:hAnsi="Calibri" w:cs="Times New Roman"/>
          <w:smallCaps/>
          <w:sz w:val="24"/>
          <w:szCs w:val="24"/>
        </w:rPr>
        <w:t>Espiñeira</w:t>
      </w:r>
      <w:proofErr w:type="spellEnd"/>
      <w:r w:rsidRPr="006730E3">
        <w:rPr>
          <w:rFonts w:ascii="Calibri" w:hAnsi="Calibri" w:cs="Times New Roman"/>
          <w:smallCaps/>
          <w:sz w:val="24"/>
          <w:szCs w:val="24"/>
        </w:rPr>
        <w:t xml:space="preserve"> Soto, I</w:t>
      </w:r>
      <w:r w:rsidR="00D2118F">
        <w:rPr>
          <w:rFonts w:ascii="Calibri" w:hAnsi="Calibri" w:cs="Times New Roman"/>
          <w:sz w:val="24"/>
          <w:szCs w:val="24"/>
        </w:rPr>
        <w:t>nmaculada,</w:t>
      </w:r>
      <w:r w:rsidRPr="006730E3">
        <w:rPr>
          <w:rFonts w:ascii="Calibri" w:hAnsi="Calibri" w:cs="Times New Roman"/>
          <w:sz w:val="24"/>
          <w:szCs w:val="24"/>
        </w:rPr>
        <w:t xml:space="preserve"> «El notario ante las parejas de hecho con elemento internacional. Incidencia de la legislación autonómica. Especial referencia a los efectos patrimoniales. Ecuador, un punto de partida para una exposición práctica», </w:t>
      </w:r>
      <w:r w:rsidRPr="006730E3">
        <w:rPr>
          <w:rFonts w:ascii="Calibri" w:hAnsi="Calibri" w:cs="Times New Roman"/>
          <w:i/>
          <w:sz w:val="24"/>
          <w:szCs w:val="24"/>
        </w:rPr>
        <w:t>Notarios y Registradores</w:t>
      </w:r>
      <w:r w:rsidRPr="006730E3">
        <w:rPr>
          <w:rFonts w:ascii="Calibri" w:hAnsi="Calibri" w:cs="Times New Roman"/>
          <w:sz w:val="24"/>
          <w:szCs w:val="24"/>
        </w:rPr>
        <w:t>, 2007, pp. 1-</w:t>
      </w:r>
      <w:r w:rsidR="007B117B">
        <w:rPr>
          <w:rFonts w:ascii="Calibri" w:hAnsi="Calibri" w:cs="Times New Roman"/>
          <w:sz w:val="24"/>
          <w:szCs w:val="24"/>
        </w:rPr>
        <w:t xml:space="preserve">18. Disponible en </w:t>
      </w:r>
      <w:r w:rsidRPr="006730E3">
        <w:rPr>
          <w:rFonts w:ascii="Calibri" w:hAnsi="Calibri" w:cs="Times New Roman"/>
          <w:sz w:val="24"/>
          <w:szCs w:val="24"/>
        </w:rPr>
        <w:t>https://www.</w:t>
      </w:r>
      <w:r w:rsidR="007B117B">
        <w:rPr>
          <w:rFonts w:ascii="Calibri" w:hAnsi="Calibri" w:cs="Times New Roman"/>
          <w:sz w:val="24"/>
          <w:szCs w:val="24"/>
        </w:rPr>
        <w:t xml:space="preserve">notariosyregistradores.com/web/ [Consulta 20 septiembre </w:t>
      </w:r>
      <w:r w:rsidRPr="006730E3">
        <w:rPr>
          <w:rFonts w:ascii="Calibri" w:hAnsi="Calibri" w:cs="Times New Roman"/>
          <w:sz w:val="24"/>
          <w:szCs w:val="24"/>
        </w:rPr>
        <w:t>2018</w:t>
      </w:r>
      <w:r w:rsidR="007B117B">
        <w:rPr>
          <w:rFonts w:ascii="Calibri" w:hAnsi="Calibri" w:cs="Times New Roman"/>
          <w:sz w:val="24"/>
          <w:szCs w:val="24"/>
        </w:rPr>
        <w:t>]</w:t>
      </w:r>
      <w:r w:rsidRPr="006730E3">
        <w:rPr>
          <w:rFonts w:ascii="Calibri" w:hAnsi="Calibri" w:cs="Times New Roman"/>
          <w:sz w:val="24"/>
          <w:szCs w:val="24"/>
        </w:rPr>
        <w:t>.</w:t>
      </w:r>
    </w:p>
    <w:p w:rsidR="0044351F" w:rsidRPr="006730E3" w:rsidRDefault="00DA6F9E"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García Rubio</w:t>
      </w:r>
      <w:r w:rsidR="00D2118F">
        <w:rPr>
          <w:rFonts w:ascii="Calibri" w:hAnsi="Calibri" w:cs="Times New Roman"/>
          <w:sz w:val="24"/>
          <w:szCs w:val="24"/>
        </w:rPr>
        <w:t>, María Paz</w:t>
      </w:r>
      <w:r w:rsidR="0032032D" w:rsidRPr="006730E3">
        <w:rPr>
          <w:rFonts w:ascii="Calibri" w:hAnsi="Calibri" w:cs="Times New Roman"/>
          <w:sz w:val="24"/>
          <w:szCs w:val="24"/>
        </w:rPr>
        <w:t xml:space="preserve">, </w:t>
      </w:r>
      <w:r w:rsidRPr="006730E3">
        <w:rPr>
          <w:rFonts w:ascii="Calibri" w:hAnsi="Calibri" w:cs="Times New Roman"/>
          <w:sz w:val="24"/>
          <w:szCs w:val="24"/>
        </w:rPr>
        <w:t>«</w:t>
      </w:r>
      <w:proofErr w:type="spellStart"/>
      <w:r w:rsidRPr="006730E3">
        <w:rPr>
          <w:rFonts w:ascii="Calibri" w:hAnsi="Calibri" w:cs="Times New Roman"/>
          <w:sz w:val="24"/>
          <w:szCs w:val="24"/>
        </w:rPr>
        <w:t>Plurilegislación</w:t>
      </w:r>
      <w:proofErr w:type="spellEnd"/>
      <w:r w:rsidRPr="006730E3">
        <w:rPr>
          <w:rFonts w:ascii="Calibri" w:hAnsi="Calibri" w:cs="Times New Roman"/>
          <w:sz w:val="24"/>
          <w:szCs w:val="24"/>
        </w:rPr>
        <w:t xml:space="preserve">, supletoriedad y Derecho civil», </w:t>
      </w:r>
      <w:r w:rsidRPr="006730E3">
        <w:rPr>
          <w:rFonts w:ascii="Calibri" w:hAnsi="Calibri" w:cs="Times New Roman"/>
          <w:i/>
          <w:sz w:val="24"/>
          <w:szCs w:val="24"/>
        </w:rPr>
        <w:t xml:space="preserve">Libro Homenaje al Profesor Manuel </w:t>
      </w:r>
      <w:proofErr w:type="spellStart"/>
      <w:r w:rsidRPr="006730E3">
        <w:rPr>
          <w:rFonts w:ascii="Calibri" w:hAnsi="Calibri" w:cs="Times New Roman"/>
          <w:i/>
          <w:sz w:val="24"/>
          <w:szCs w:val="24"/>
        </w:rPr>
        <w:t>Albaladejo</w:t>
      </w:r>
      <w:proofErr w:type="spellEnd"/>
      <w:r w:rsidRPr="006730E3">
        <w:rPr>
          <w:rFonts w:ascii="Calibri" w:hAnsi="Calibri" w:cs="Times New Roman"/>
          <w:i/>
          <w:sz w:val="24"/>
          <w:szCs w:val="24"/>
        </w:rPr>
        <w:t xml:space="preserve"> García</w:t>
      </w:r>
      <w:r w:rsidRPr="006730E3">
        <w:rPr>
          <w:rFonts w:ascii="Calibri" w:hAnsi="Calibri" w:cs="Times New Roman"/>
          <w:sz w:val="24"/>
          <w:szCs w:val="24"/>
        </w:rPr>
        <w:t xml:space="preserve">, </w:t>
      </w:r>
      <w:r w:rsidR="00372B5D" w:rsidRPr="006730E3">
        <w:rPr>
          <w:rFonts w:ascii="Calibri" w:hAnsi="Calibri" w:cs="Times New Roman"/>
          <w:sz w:val="24"/>
          <w:szCs w:val="24"/>
        </w:rPr>
        <w:t xml:space="preserve">Colegio de Registradores/Universidad de Murcia, Murcia, 2004, </w:t>
      </w:r>
      <w:r w:rsidR="007B117B" w:rsidRPr="006730E3">
        <w:rPr>
          <w:rFonts w:ascii="Calibri" w:hAnsi="Calibri" w:cs="Times New Roman"/>
          <w:sz w:val="24"/>
          <w:szCs w:val="24"/>
        </w:rPr>
        <w:t xml:space="preserve">t. I, </w:t>
      </w:r>
      <w:r w:rsidR="00372B5D" w:rsidRPr="006730E3">
        <w:rPr>
          <w:rFonts w:ascii="Calibri" w:hAnsi="Calibri" w:cs="Times New Roman"/>
          <w:sz w:val="24"/>
          <w:szCs w:val="24"/>
        </w:rPr>
        <w:t>pp. 1939-1953.</w:t>
      </w:r>
    </w:p>
    <w:p w:rsidR="006C6C27" w:rsidRPr="006730E3" w:rsidRDefault="0044351F" w:rsidP="00416B3A">
      <w:pPr>
        <w:spacing w:line="312" w:lineRule="auto"/>
        <w:jc w:val="both"/>
        <w:rPr>
          <w:rFonts w:ascii="Calibri" w:hAnsi="Calibri" w:cs="Times New Roman"/>
          <w:sz w:val="24"/>
          <w:szCs w:val="24"/>
        </w:rPr>
      </w:pPr>
      <w:r w:rsidRPr="006730E3">
        <w:rPr>
          <w:rFonts w:ascii="Calibri" w:hAnsi="Calibri" w:cs="Times New Roman"/>
          <w:sz w:val="24"/>
          <w:szCs w:val="24"/>
        </w:rPr>
        <w:lastRenderedPageBreak/>
        <w:t xml:space="preserve">– </w:t>
      </w:r>
      <w:r w:rsidR="00626AA9" w:rsidRPr="006730E3">
        <w:rPr>
          <w:rFonts w:ascii="Calibri" w:hAnsi="Calibri" w:cs="Times New Roman"/>
          <w:sz w:val="24"/>
          <w:szCs w:val="24"/>
        </w:rPr>
        <w:t xml:space="preserve">«Las parejas de hecho en el Derecho civil gallego o como la corrección política da palos de ciego», </w:t>
      </w:r>
      <w:proofErr w:type="spellStart"/>
      <w:r w:rsidR="00626AA9" w:rsidRPr="006730E3">
        <w:rPr>
          <w:rFonts w:ascii="Calibri" w:hAnsi="Calibri" w:cs="Times New Roman"/>
          <w:i/>
          <w:sz w:val="24"/>
          <w:szCs w:val="24"/>
        </w:rPr>
        <w:t>Dereito</w:t>
      </w:r>
      <w:proofErr w:type="spellEnd"/>
      <w:r w:rsidR="00626AA9" w:rsidRPr="006730E3">
        <w:rPr>
          <w:rFonts w:ascii="Calibri" w:hAnsi="Calibri" w:cs="Times New Roman"/>
          <w:i/>
          <w:sz w:val="24"/>
          <w:szCs w:val="24"/>
        </w:rPr>
        <w:t xml:space="preserve">. Revista </w:t>
      </w:r>
      <w:proofErr w:type="spellStart"/>
      <w:r w:rsidR="00626AA9" w:rsidRPr="006730E3">
        <w:rPr>
          <w:rFonts w:ascii="Calibri" w:hAnsi="Calibri" w:cs="Times New Roman"/>
          <w:i/>
          <w:sz w:val="24"/>
          <w:szCs w:val="24"/>
        </w:rPr>
        <w:t>Xurídica</w:t>
      </w:r>
      <w:proofErr w:type="spellEnd"/>
      <w:r w:rsidR="00626AA9" w:rsidRPr="006730E3">
        <w:rPr>
          <w:rFonts w:ascii="Calibri" w:hAnsi="Calibri" w:cs="Times New Roman"/>
          <w:i/>
          <w:sz w:val="24"/>
          <w:szCs w:val="24"/>
        </w:rPr>
        <w:t xml:space="preserve"> da </w:t>
      </w:r>
      <w:proofErr w:type="spellStart"/>
      <w:r w:rsidR="00626AA9" w:rsidRPr="006730E3">
        <w:rPr>
          <w:rFonts w:ascii="Calibri" w:hAnsi="Calibri" w:cs="Times New Roman"/>
          <w:i/>
          <w:sz w:val="24"/>
          <w:szCs w:val="24"/>
        </w:rPr>
        <w:t>Universidade</w:t>
      </w:r>
      <w:proofErr w:type="spellEnd"/>
      <w:r w:rsidR="00626AA9" w:rsidRPr="006730E3">
        <w:rPr>
          <w:rFonts w:ascii="Calibri" w:hAnsi="Calibri" w:cs="Times New Roman"/>
          <w:i/>
          <w:sz w:val="24"/>
          <w:szCs w:val="24"/>
        </w:rPr>
        <w:t xml:space="preserve"> de Santiago de Compostela</w:t>
      </w:r>
      <w:r w:rsidR="00626AA9" w:rsidRPr="006730E3">
        <w:rPr>
          <w:rFonts w:ascii="Calibri" w:hAnsi="Calibri" w:cs="Times New Roman"/>
          <w:sz w:val="24"/>
          <w:szCs w:val="24"/>
        </w:rPr>
        <w:t xml:space="preserve">, vol. 16, núm. </w:t>
      </w:r>
      <w:r w:rsidR="00032BEC" w:rsidRPr="006730E3">
        <w:rPr>
          <w:rFonts w:ascii="Calibri" w:hAnsi="Calibri" w:cs="Times New Roman"/>
          <w:sz w:val="24"/>
          <w:szCs w:val="24"/>
        </w:rPr>
        <w:t>1, 2007, pp</w:t>
      </w:r>
      <w:r w:rsidR="00626AA9" w:rsidRPr="006730E3">
        <w:rPr>
          <w:rFonts w:ascii="Calibri" w:hAnsi="Calibri" w:cs="Times New Roman"/>
          <w:sz w:val="24"/>
          <w:szCs w:val="24"/>
        </w:rPr>
        <w:t>. 187-208.</w:t>
      </w:r>
    </w:p>
    <w:p w:rsidR="006C6C27" w:rsidRPr="006730E3" w:rsidRDefault="006C6C2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 </w:t>
      </w:r>
      <w:r w:rsidR="00A65B3C" w:rsidRPr="006730E3">
        <w:rPr>
          <w:rFonts w:ascii="Calibri" w:hAnsi="Calibri" w:cs="Times New Roman"/>
          <w:sz w:val="24"/>
          <w:szCs w:val="24"/>
        </w:rPr>
        <w:t>«Las uniones de hecho»,</w:t>
      </w:r>
      <w:r w:rsidR="007B117B">
        <w:rPr>
          <w:rFonts w:ascii="Calibri" w:hAnsi="Calibri" w:cs="Times New Roman"/>
          <w:sz w:val="24"/>
          <w:szCs w:val="24"/>
        </w:rPr>
        <w:t xml:space="preserve"> en Díez-Picazo Giménez, G. (</w:t>
      </w:r>
      <w:proofErr w:type="spellStart"/>
      <w:r w:rsidR="007B117B">
        <w:rPr>
          <w:rFonts w:ascii="Calibri" w:hAnsi="Calibri" w:cs="Times New Roman"/>
          <w:sz w:val="24"/>
          <w:szCs w:val="24"/>
        </w:rPr>
        <w:t>dir.</w:t>
      </w:r>
      <w:proofErr w:type="spellEnd"/>
      <w:r w:rsidR="007B117B">
        <w:rPr>
          <w:rFonts w:ascii="Calibri" w:hAnsi="Calibri" w:cs="Times New Roman"/>
          <w:sz w:val="24"/>
          <w:szCs w:val="24"/>
        </w:rPr>
        <w:t xml:space="preserve">), </w:t>
      </w:r>
      <w:r w:rsidR="00A65B3C" w:rsidRPr="006730E3">
        <w:rPr>
          <w:rFonts w:ascii="Calibri" w:hAnsi="Calibri" w:cs="Times New Roman"/>
          <w:i/>
          <w:sz w:val="24"/>
          <w:szCs w:val="24"/>
        </w:rPr>
        <w:t>Derecho de familia</w:t>
      </w:r>
      <w:r w:rsidR="00A65B3C" w:rsidRPr="006730E3">
        <w:rPr>
          <w:rFonts w:ascii="Calibri" w:hAnsi="Calibri" w:cs="Times New Roman"/>
          <w:sz w:val="24"/>
          <w:szCs w:val="24"/>
        </w:rPr>
        <w:t xml:space="preserve">, </w:t>
      </w:r>
      <w:proofErr w:type="spellStart"/>
      <w:r w:rsidR="00A65B3C" w:rsidRPr="006730E3">
        <w:rPr>
          <w:rFonts w:ascii="Calibri" w:hAnsi="Calibri" w:cs="Times New Roman"/>
          <w:sz w:val="24"/>
          <w:szCs w:val="24"/>
        </w:rPr>
        <w:t>Civitas</w:t>
      </w:r>
      <w:proofErr w:type="spellEnd"/>
      <w:r w:rsidR="00A65B3C" w:rsidRPr="006730E3">
        <w:rPr>
          <w:rFonts w:ascii="Calibri" w:hAnsi="Calibri" w:cs="Times New Roman"/>
          <w:sz w:val="24"/>
          <w:szCs w:val="24"/>
        </w:rPr>
        <w:t xml:space="preserve"> Thomson Reuters, </w:t>
      </w:r>
      <w:proofErr w:type="spellStart"/>
      <w:r w:rsidR="00A65B3C" w:rsidRPr="006730E3">
        <w:rPr>
          <w:rFonts w:ascii="Calibri" w:hAnsi="Calibri" w:cs="Times New Roman"/>
          <w:sz w:val="24"/>
          <w:szCs w:val="24"/>
        </w:rPr>
        <w:t>Cizur</w:t>
      </w:r>
      <w:proofErr w:type="spellEnd"/>
      <w:r w:rsidR="00A65B3C" w:rsidRPr="006730E3">
        <w:rPr>
          <w:rFonts w:ascii="Calibri" w:hAnsi="Calibri" w:cs="Times New Roman"/>
          <w:sz w:val="24"/>
          <w:szCs w:val="24"/>
        </w:rPr>
        <w:t xml:space="preserve"> Menor (Navarra), 2012, pp</w:t>
      </w:r>
      <w:r w:rsidR="002D3992" w:rsidRPr="006730E3">
        <w:rPr>
          <w:rFonts w:ascii="Calibri" w:hAnsi="Calibri" w:cs="Times New Roman"/>
          <w:sz w:val="24"/>
          <w:szCs w:val="24"/>
        </w:rPr>
        <w:t>. 1479-1517</w:t>
      </w:r>
      <w:r w:rsidR="00A65B3C" w:rsidRPr="006730E3">
        <w:rPr>
          <w:rFonts w:ascii="Calibri" w:hAnsi="Calibri" w:cs="Times New Roman"/>
          <w:sz w:val="24"/>
          <w:szCs w:val="24"/>
        </w:rPr>
        <w:t>.</w:t>
      </w:r>
    </w:p>
    <w:p w:rsidR="006C6C27" w:rsidRPr="006730E3" w:rsidRDefault="006C6C27" w:rsidP="00416B3A">
      <w:pPr>
        <w:spacing w:line="312" w:lineRule="auto"/>
        <w:jc w:val="both"/>
        <w:rPr>
          <w:rFonts w:ascii="Calibri" w:hAnsi="Calibri" w:cs="Times New Roman"/>
          <w:sz w:val="24"/>
          <w:szCs w:val="24"/>
          <w:bdr w:val="none" w:sz="0" w:space="0" w:color="auto" w:frame="1"/>
        </w:rPr>
      </w:pPr>
      <w:r w:rsidRPr="006730E3">
        <w:rPr>
          <w:rFonts w:ascii="Calibri" w:hAnsi="Calibri" w:cs="Times New Roman"/>
          <w:sz w:val="24"/>
          <w:szCs w:val="24"/>
        </w:rPr>
        <w:t>–</w:t>
      </w:r>
      <w:r w:rsidR="00A65B3C" w:rsidRPr="006730E3">
        <w:rPr>
          <w:rFonts w:ascii="Calibri" w:hAnsi="Calibri" w:cs="Times New Roman"/>
          <w:sz w:val="24"/>
          <w:szCs w:val="24"/>
        </w:rPr>
        <w:t xml:space="preserve"> «Ignorancia de la ley y las normas dispositivas»,  </w:t>
      </w:r>
      <w:hyperlink r:id="rId10" w:history="1">
        <w:r w:rsidR="00A65B3C" w:rsidRPr="006730E3">
          <w:rPr>
            <w:rStyle w:val="Hipervnculo"/>
            <w:rFonts w:ascii="Calibri" w:hAnsi="Calibri" w:cs="Times New Roman"/>
            <w:i/>
            <w:color w:val="auto"/>
            <w:sz w:val="24"/>
            <w:szCs w:val="24"/>
            <w:u w:val="none"/>
            <w:bdr w:val="none" w:sz="0" w:space="0" w:color="auto" w:frame="1"/>
          </w:rPr>
          <w:t>Teoría y derecho: revista de pensamiento jurídico</w:t>
        </w:r>
      </w:hyperlink>
      <w:r w:rsidR="00A65B3C" w:rsidRPr="006730E3">
        <w:rPr>
          <w:rFonts w:ascii="Calibri" w:hAnsi="Calibri" w:cs="Times New Roman"/>
          <w:sz w:val="24"/>
          <w:szCs w:val="24"/>
          <w:bdr w:val="none" w:sz="0" w:space="0" w:color="auto" w:frame="1"/>
        </w:rPr>
        <w:t>, núm. 18, 2015, pp. 35-51.</w:t>
      </w:r>
    </w:p>
    <w:p w:rsidR="00871AF6" w:rsidRPr="006730E3" w:rsidRDefault="00871AF6"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 «Presente y futuro del Derecho civil español en claves normativas», </w:t>
      </w:r>
      <w:r w:rsidRPr="006730E3">
        <w:rPr>
          <w:rFonts w:ascii="Calibri" w:hAnsi="Calibri" w:cs="Times New Roman"/>
          <w:i/>
          <w:sz w:val="24"/>
          <w:szCs w:val="24"/>
        </w:rPr>
        <w:t>Revista de Derecho civil</w:t>
      </w:r>
      <w:r w:rsidRPr="006730E3">
        <w:rPr>
          <w:rFonts w:ascii="Calibri" w:hAnsi="Calibri" w:cs="Times New Roman"/>
          <w:sz w:val="24"/>
          <w:szCs w:val="24"/>
        </w:rPr>
        <w:t xml:space="preserve">, </w:t>
      </w:r>
      <w:r w:rsidR="007B117B">
        <w:rPr>
          <w:rFonts w:ascii="Calibri" w:hAnsi="Calibri" w:cs="Times New Roman"/>
          <w:sz w:val="24"/>
          <w:szCs w:val="24"/>
        </w:rPr>
        <w:t xml:space="preserve">vol. IV, núm. 3, 2017, pp. 1-33. </w:t>
      </w:r>
    </w:p>
    <w:p w:rsidR="006C6C27" w:rsidRPr="006730E3" w:rsidRDefault="006C6C27" w:rsidP="00416B3A">
      <w:pPr>
        <w:spacing w:line="312" w:lineRule="auto"/>
        <w:jc w:val="both"/>
        <w:rPr>
          <w:rFonts w:ascii="Calibri" w:hAnsi="Calibri" w:cs="Times New Roman"/>
          <w:sz w:val="24"/>
          <w:szCs w:val="24"/>
        </w:rPr>
      </w:pPr>
      <w:r w:rsidRPr="006730E3">
        <w:rPr>
          <w:rFonts w:ascii="Calibri" w:hAnsi="Calibri" w:cs="Times New Roman"/>
          <w:sz w:val="24"/>
          <w:szCs w:val="24"/>
        </w:rPr>
        <w:t xml:space="preserve">– </w:t>
      </w:r>
      <w:r w:rsidR="00DA6F9E" w:rsidRPr="006730E3">
        <w:rPr>
          <w:rFonts w:ascii="Calibri" w:hAnsi="Calibri" w:cs="Times New Roman"/>
          <w:sz w:val="24"/>
          <w:szCs w:val="24"/>
        </w:rPr>
        <w:t xml:space="preserve">«Prólogo» a la obra de </w:t>
      </w:r>
      <w:r w:rsidR="00DA6F9E" w:rsidRPr="00463034">
        <w:rPr>
          <w:rFonts w:ascii="Calibri" w:hAnsi="Calibri" w:cs="Times New Roman"/>
          <w:smallCaps/>
          <w:sz w:val="24"/>
          <w:szCs w:val="24"/>
        </w:rPr>
        <w:t xml:space="preserve">Cantero Núñez, F. </w:t>
      </w:r>
      <w:r w:rsidR="00DA6F9E" w:rsidRPr="00463034">
        <w:rPr>
          <w:rFonts w:ascii="Calibri" w:hAnsi="Calibri" w:cs="Times New Roman"/>
          <w:sz w:val="24"/>
          <w:szCs w:val="24"/>
        </w:rPr>
        <w:t>y</w:t>
      </w:r>
      <w:r w:rsidR="00DA6F9E" w:rsidRPr="00463034">
        <w:rPr>
          <w:rFonts w:ascii="Calibri" w:hAnsi="Calibri" w:cs="Times New Roman"/>
          <w:smallCaps/>
          <w:sz w:val="24"/>
          <w:szCs w:val="24"/>
        </w:rPr>
        <w:t xml:space="preserve"> </w:t>
      </w:r>
      <w:proofErr w:type="spellStart"/>
      <w:r w:rsidR="00DA6F9E" w:rsidRPr="00463034">
        <w:rPr>
          <w:rFonts w:ascii="Calibri" w:hAnsi="Calibri" w:cs="Times New Roman"/>
          <w:smallCaps/>
          <w:sz w:val="24"/>
          <w:szCs w:val="24"/>
        </w:rPr>
        <w:t>Legerén</w:t>
      </w:r>
      <w:proofErr w:type="spellEnd"/>
      <w:r w:rsidR="00DA6F9E" w:rsidRPr="00463034">
        <w:rPr>
          <w:rFonts w:ascii="Calibri" w:hAnsi="Calibri" w:cs="Times New Roman"/>
          <w:smallCaps/>
          <w:sz w:val="24"/>
          <w:szCs w:val="24"/>
        </w:rPr>
        <w:t>-Molina, A.,</w:t>
      </w:r>
      <w:r w:rsidR="00DA6F9E" w:rsidRPr="006730E3">
        <w:rPr>
          <w:rFonts w:ascii="Calibri" w:hAnsi="Calibri" w:cs="Times New Roman"/>
          <w:sz w:val="24"/>
          <w:szCs w:val="24"/>
        </w:rPr>
        <w:t xml:space="preserve"> </w:t>
      </w:r>
      <w:r w:rsidR="00DA6F9E" w:rsidRPr="006730E3">
        <w:rPr>
          <w:rFonts w:ascii="Calibri" w:hAnsi="Calibri" w:cs="Times New Roman"/>
          <w:i/>
          <w:sz w:val="24"/>
          <w:szCs w:val="24"/>
        </w:rPr>
        <w:t xml:space="preserve">Las Parejas de hecho y de derecho (régimen jurídico de la convivencia more </w:t>
      </w:r>
      <w:proofErr w:type="spellStart"/>
      <w:r w:rsidR="00DA6F9E" w:rsidRPr="006730E3">
        <w:rPr>
          <w:rFonts w:ascii="Calibri" w:hAnsi="Calibri" w:cs="Times New Roman"/>
          <w:i/>
          <w:sz w:val="24"/>
          <w:szCs w:val="24"/>
        </w:rPr>
        <w:t>uxorio</w:t>
      </w:r>
      <w:proofErr w:type="spellEnd"/>
      <w:r w:rsidR="00DA6F9E" w:rsidRPr="006730E3">
        <w:rPr>
          <w:rFonts w:ascii="Calibri" w:hAnsi="Calibri" w:cs="Times New Roman"/>
          <w:i/>
          <w:sz w:val="24"/>
          <w:szCs w:val="24"/>
        </w:rPr>
        <w:t xml:space="preserve"> en España)</w:t>
      </w:r>
      <w:r w:rsidR="00DA6F9E" w:rsidRPr="006730E3">
        <w:rPr>
          <w:rFonts w:ascii="Calibri" w:hAnsi="Calibri" w:cs="Times New Roman"/>
          <w:sz w:val="24"/>
          <w:szCs w:val="24"/>
        </w:rPr>
        <w:t xml:space="preserve">, Thomson Reuters Aranzadi, </w:t>
      </w:r>
      <w:proofErr w:type="spellStart"/>
      <w:r w:rsidR="00DA6F9E" w:rsidRPr="006730E3">
        <w:rPr>
          <w:rFonts w:ascii="Calibri" w:hAnsi="Calibri" w:cs="Times New Roman"/>
          <w:sz w:val="24"/>
          <w:szCs w:val="24"/>
        </w:rPr>
        <w:t>Cizur</w:t>
      </w:r>
      <w:proofErr w:type="spellEnd"/>
      <w:r w:rsidR="00DA6F9E" w:rsidRPr="006730E3">
        <w:rPr>
          <w:rFonts w:ascii="Calibri" w:hAnsi="Calibri" w:cs="Times New Roman"/>
          <w:sz w:val="24"/>
          <w:szCs w:val="24"/>
        </w:rPr>
        <w:t xml:space="preserve"> Menor (Navarra), 20</w:t>
      </w:r>
      <w:r w:rsidR="0099411D">
        <w:rPr>
          <w:rFonts w:ascii="Calibri" w:hAnsi="Calibri" w:cs="Times New Roman"/>
          <w:sz w:val="24"/>
          <w:szCs w:val="24"/>
        </w:rPr>
        <w:t>18, pp. 17-24 (2018-1</w:t>
      </w:r>
      <w:r w:rsidR="00974CBC" w:rsidRPr="006730E3">
        <w:rPr>
          <w:rFonts w:ascii="Calibri" w:hAnsi="Calibri" w:cs="Times New Roman"/>
          <w:sz w:val="24"/>
          <w:szCs w:val="24"/>
        </w:rPr>
        <w:t>)</w:t>
      </w:r>
      <w:r w:rsidR="0099411D">
        <w:rPr>
          <w:rFonts w:ascii="Calibri" w:hAnsi="Calibri" w:cs="Times New Roman"/>
          <w:sz w:val="24"/>
          <w:szCs w:val="24"/>
        </w:rPr>
        <w:t>.</w:t>
      </w:r>
    </w:p>
    <w:p w:rsidR="0053447F" w:rsidRPr="006730E3" w:rsidRDefault="0053447F" w:rsidP="00416B3A">
      <w:pPr>
        <w:spacing w:line="312" w:lineRule="auto"/>
        <w:jc w:val="both"/>
        <w:rPr>
          <w:rFonts w:ascii="Calibri" w:hAnsi="Calibri" w:cs="Times New Roman"/>
          <w:sz w:val="24"/>
          <w:szCs w:val="24"/>
          <w:lang w:val="es-ES_tradnl"/>
        </w:rPr>
      </w:pPr>
      <w:r w:rsidRPr="006730E3">
        <w:rPr>
          <w:rFonts w:ascii="Calibri" w:hAnsi="Calibri" w:cs="Times New Roman"/>
          <w:sz w:val="24"/>
          <w:szCs w:val="24"/>
        </w:rPr>
        <w:t>–</w:t>
      </w:r>
      <w:r w:rsidR="00974CBC" w:rsidRPr="006730E3">
        <w:rPr>
          <w:rFonts w:ascii="Calibri" w:hAnsi="Calibri" w:cs="Times New Roman"/>
          <w:sz w:val="24"/>
          <w:szCs w:val="24"/>
        </w:rPr>
        <w:t xml:space="preserve"> </w:t>
      </w:r>
      <w:r w:rsidRPr="006730E3">
        <w:rPr>
          <w:rFonts w:ascii="Calibri" w:hAnsi="Calibri" w:cs="Times New Roman"/>
          <w:sz w:val="24"/>
          <w:szCs w:val="24"/>
          <w:lang w:val="es-ES_tradnl"/>
        </w:rPr>
        <w:t>«La competencia del legislador gallego sobre Derecho civil tras la Sentencia del Tribunal Constitucional 133/2017, de 16 de noviembre ¿interp</w:t>
      </w:r>
      <w:r w:rsidR="00DF62D5">
        <w:rPr>
          <w:rFonts w:ascii="Calibri" w:hAnsi="Calibri" w:cs="Times New Roman"/>
          <w:sz w:val="24"/>
          <w:szCs w:val="24"/>
          <w:lang w:val="es-ES_tradnl"/>
        </w:rPr>
        <w:t>retación del artículo 149.1.8</w:t>
      </w:r>
      <w:proofErr w:type="gramStart"/>
      <w:r w:rsidR="00DF62D5">
        <w:rPr>
          <w:rFonts w:ascii="Calibri" w:hAnsi="Calibri" w:cs="Times New Roman"/>
          <w:sz w:val="24"/>
          <w:szCs w:val="24"/>
          <w:lang w:val="es-ES_tradnl"/>
        </w:rPr>
        <w:t>.ª</w:t>
      </w:r>
      <w:proofErr w:type="gramEnd"/>
      <w:r w:rsidR="00DF62D5">
        <w:rPr>
          <w:rFonts w:ascii="Calibri" w:hAnsi="Calibri" w:cs="Times New Roman"/>
          <w:sz w:val="24"/>
          <w:szCs w:val="24"/>
          <w:lang w:val="es-ES_tradnl"/>
        </w:rPr>
        <w:t xml:space="preserve"> </w:t>
      </w:r>
      <w:r w:rsidRPr="006730E3">
        <w:rPr>
          <w:rFonts w:ascii="Calibri" w:hAnsi="Calibri" w:cs="Times New Roman"/>
          <w:sz w:val="24"/>
          <w:szCs w:val="24"/>
          <w:lang w:val="es-ES_tradnl"/>
        </w:rPr>
        <w:t xml:space="preserve">CE </w:t>
      </w:r>
      <w:proofErr w:type="spellStart"/>
      <w:r w:rsidRPr="006730E3">
        <w:rPr>
          <w:rFonts w:ascii="Calibri" w:hAnsi="Calibri" w:cs="Times New Roman"/>
          <w:sz w:val="24"/>
          <w:szCs w:val="24"/>
          <w:lang w:val="es-ES_tradnl"/>
        </w:rPr>
        <w:t>asimétríca</w:t>
      </w:r>
      <w:proofErr w:type="spellEnd"/>
      <w:r w:rsidRPr="006730E3">
        <w:rPr>
          <w:rFonts w:ascii="Calibri" w:hAnsi="Calibri" w:cs="Times New Roman"/>
          <w:sz w:val="24"/>
          <w:szCs w:val="24"/>
          <w:lang w:val="es-ES_tradnl"/>
        </w:rPr>
        <w:t xml:space="preserve"> o sencillamente discriminatoria?»</w:t>
      </w:r>
      <w:r w:rsidR="00974CBC" w:rsidRPr="006730E3">
        <w:rPr>
          <w:rFonts w:ascii="Calibri" w:hAnsi="Calibri" w:cs="Times New Roman"/>
          <w:sz w:val="24"/>
          <w:szCs w:val="24"/>
          <w:lang w:val="es-ES_tradnl"/>
        </w:rPr>
        <w:t xml:space="preserve">, </w:t>
      </w:r>
      <w:r w:rsidR="00974CBC" w:rsidRPr="006730E3">
        <w:rPr>
          <w:rFonts w:ascii="Calibri" w:hAnsi="Calibri" w:cs="Times New Roman"/>
          <w:i/>
          <w:sz w:val="24"/>
          <w:szCs w:val="24"/>
          <w:lang w:val="es-ES_tradnl"/>
        </w:rPr>
        <w:t>Foro Gallego</w:t>
      </w:r>
      <w:r w:rsidR="00974CBC" w:rsidRPr="006730E3">
        <w:rPr>
          <w:rFonts w:ascii="Calibri" w:hAnsi="Calibri" w:cs="Times New Roman"/>
          <w:sz w:val="24"/>
          <w:szCs w:val="24"/>
          <w:lang w:val="es-ES_tradnl"/>
        </w:rPr>
        <w:t>, 2018, pp. 1-31, pendiente de publica</w:t>
      </w:r>
      <w:r w:rsidR="0099411D">
        <w:rPr>
          <w:rFonts w:ascii="Calibri" w:hAnsi="Calibri" w:cs="Times New Roman"/>
          <w:sz w:val="24"/>
          <w:szCs w:val="24"/>
          <w:lang w:val="es-ES_tradnl"/>
        </w:rPr>
        <w:t>ción (2018-2</w:t>
      </w:r>
      <w:r w:rsidR="00974CBC" w:rsidRPr="006730E3">
        <w:rPr>
          <w:rFonts w:ascii="Calibri" w:hAnsi="Calibri" w:cs="Times New Roman"/>
          <w:sz w:val="24"/>
          <w:szCs w:val="24"/>
          <w:lang w:val="es-ES_tradnl"/>
        </w:rPr>
        <w:t>)</w:t>
      </w:r>
      <w:r w:rsidR="0099411D">
        <w:rPr>
          <w:rFonts w:ascii="Calibri" w:hAnsi="Calibri" w:cs="Times New Roman"/>
          <w:sz w:val="24"/>
          <w:szCs w:val="24"/>
          <w:lang w:val="es-ES_tradnl"/>
        </w:rPr>
        <w:t>.</w:t>
      </w:r>
    </w:p>
    <w:p w:rsidR="006C6C27" w:rsidRPr="006730E3" w:rsidRDefault="008551EF" w:rsidP="00416B3A">
      <w:pPr>
        <w:spacing w:line="312" w:lineRule="auto"/>
        <w:jc w:val="both"/>
        <w:rPr>
          <w:rFonts w:ascii="Calibri" w:hAnsi="Calibri" w:cs="Times New Roman"/>
          <w:sz w:val="24"/>
          <w:szCs w:val="24"/>
        </w:rPr>
      </w:pPr>
      <w:r w:rsidRPr="00DF62D5">
        <w:rPr>
          <w:rFonts w:ascii="Calibri" w:hAnsi="Calibri" w:cs="Times New Roman"/>
          <w:smallCaps/>
          <w:sz w:val="24"/>
          <w:szCs w:val="24"/>
        </w:rPr>
        <w:t>González Nieto</w:t>
      </w:r>
      <w:r w:rsidR="00DF62D5" w:rsidRPr="00DF62D5">
        <w:rPr>
          <w:rFonts w:ascii="Calibri" w:hAnsi="Calibri" w:cs="Times New Roman"/>
          <w:sz w:val="24"/>
          <w:szCs w:val="24"/>
        </w:rPr>
        <w:t>, Juan Carlos</w:t>
      </w:r>
      <w:r w:rsidRPr="00DF62D5">
        <w:rPr>
          <w:rFonts w:ascii="Calibri" w:hAnsi="Calibri" w:cs="Times New Roman"/>
          <w:sz w:val="24"/>
          <w:szCs w:val="24"/>
        </w:rPr>
        <w:t xml:space="preserve">, «As parellas de </w:t>
      </w:r>
      <w:proofErr w:type="spellStart"/>
      <w:r w:rsidRPr="00DF62D5">
        <w:rPr>
          <w:rFonts w:ascii="Calibri" w:hAnsi="Calibri" w:cs="Times New Roman"/>
          <w:sz w:val="24"/>
          <w:szCs w:val="24"/>
        </w:rPr>
        <w:t>feito</w:t>
      </w:r>
      <w:proofErr w:type="spellEnd"/>
      <w:r w:rsidRPr="00DF62D5">
        <w:rPr>
          <w:rFonts w:ascii="Calibri" w:hAnsi="Calibri" w:cs="Times New Roman"/>
          <w:sz w:val="24"/>
          <w:szCs w:val="24"/>
        </w:rPr>
        <w:t xml:space="preserve"> na </w:t>
      </w:r>
      <w:proofErr w:type="spellStart"/>
      <w:r w:rsidRPr="00DF62D5">
        <w:rPr>
          <w:rFonts w:ascii="Calibri" w:hAnsi="Calibri" w:cs="Times New Roman"/>
          <w:sz w:val="24"/>
          <w:szCs w:val="24"/>
        </w:rPr>
        <w:t>Lei</w:t>
      </w:r>
      <w:proofErr w:type="spellEnd"/>
      <w:r w:rsidRPr="00DF62D5">
        <w:rPr>
          <w:rFonts w:ascii="Calibri" w:hAnsi="Calibri" w:cs="Times New Roman"/>
          <w:sz w:val="24"/>
          <w:szCs w:val="24"/>
        </w:rPr>
        <w:t xml:space="preserve"> de </w:t>
      </w:r>
      <w:proofErr w:type="spellStart"/>
      <w:r w:rsidRPr="00DF62D5">
        <w:rPr>
          <w:rFonts w:ascii="Calibri" w:hAnsi="Calibri" w:cs="Times New Roman"/>
          <w:sz w:val="24"/>
          <w:szCs w:val="24"/>
        </w:rPr>
        <w:t>Dereito</w:t>
      </w:r>
      <w:proofErr w:type="spellEnd"/>
      <w:r w:rsidRPr="00DF62D5">
        <w:rPr>
          <w:rFonts w:ascii="Calibri" w:hAnsi="Calibri" w:cs="Times New Roman"/>
          <w:sz w:val="24"/>
          <w:szCs w:val="24"/>
        </w:rPr>
        <w:t xml:space="preserve"> Civil de Galicia </w:t>
      </w:r>
      <w:r w:rsidRPr="006730E3">
        <w:rPr>
          <w:rFonts w:ascii="Calibri" w:hAnsi="Calibri" w:cs="Times New Roman"/>
          <w:sz w:val="24"/>
          <w:szCs w:val="24"/>
        </w:rPr>
        <w:t xml:space="preserve">(Disposición adicional </w:t>
      </w:r>
      <w:proofErr w:type="spellStart"/>
      <w:r w:rsidRPr="006730E3">
        <w:rPr>
          <w:rFonts w:ascii="Calibri" w:hAnsi="Calibri" w:cs="Times New Roman"/>
          <w:sz w:val="24"/>
          <w:szCs w:val="24"/>
        </w:rPr>
        <w:t>Terceira</w:t>
      </w:r>
      <w:proofErr w:type="spellEnd"/>
      <w:r w:rsidRPr="006730E3">
        <w:rPr>
          <w:rFonts w:ascii="Calibri" w:hAnsi="Calibri" w:cs="Times New Roman"/>
          <w:sz w:val="24"/>
          <w:szCs w:val="24"/>
        </w:rPr>
        <w:t xml:space="preserve"> da </w:t>
      </w:r>
      <w:proofErr w:type="spellStart"/>
      <w:r w:rsidRPr="006730E3">
        <w:rPr>
          <w:rFonts w:ascii="Calibri" w:hAnsi="Calibri" w:cs="Times New Roman"/>
          <w:sz w:val="24"/>
          <w:szCs w:val="24"/>
        </w:rPr>
        <w:t>Lei</w:t>
      </w:r>
      <w:proofErr w:type="spellEnd"/>
      <w:r w:rsidRPr="006730E3">
        <w:rPr>
          <w:rFonts w:ascii="Calibri" w:hAnsi="Calibri" w:cs="Times New Roman"/>
          <w:sz w:val="24"/>
          <w:szCs w:val="24"/>
        </w:rPr>
        <w:t xml:space="preserve"> 2/2006 e a </w:t>
      </w:r>
      <w:proofErr w:type="spellStart"/>
      <w:r w:rsidRPr="006730E3">
        <w:rPr>
          <w:rFonts w:ascii="Calibri" w:hAnsi="Calibri" w:cs="Times New Roman"/>
          <w:sz w:val="24"/>
          <w:szCs w:val="24"/>
        </w:rPr>
        <w:t>súa</w:t>
      </w:r>
      <w:proofErr w:type="spellEnd"/>
      <w:r w:rsidRPr="006730E3">
        <w:rPr>
          <w:rFonts w:ascii="Calibri" w:hAnsi="Calibri" w:cs="Times New Roman"/>
          <w:sz w:val="24"/>
          <w:szCs w:val="24"/>
        </w:rPr>
        <w:t xml:space="preserve"> modificación </w:t>
      </w:r>
      <w:proofErr w:type="spellStart"/>
      <w:r w:rsidRPr="006730E3">
        <w:rPr>
          <w:rFonts w:ascii="Calibri" w:hAnsi="Calibri" w:cs="Times New Roman"/>
          <w:sz w:val="24"/>
          <w:szCs w:val="24"/>
        </w:rPr>
        <w:t>pola</w:t>
      </w:r>
      <w:proofErr w:type="spellEnd"/>
      <w:r w:rsidRPr="006730E3">
        <w:rPr>
          <w:rFonts w:ascii="Calibri" w:hAnsi="Calibri" w:cs="Times New Roman"/>
          <w:sz w:val="24"/>
          <w:szCs w:val="24"/>
        </w:rPr>
        <w:t xml:space="preserve"> </w:t>
      </w:r>
      <w:proofErr w:type="spellStart"/>
      <w:r w:rsidRPr="006730E3">
        <w:rPr>
          <w:rFonts w:ascii="Calibri" w:hAnsi="Calibri" w:cs="Times New Roman"/>
          <w:sz w:val="24"/>
          <w:szCs w:val="24"/>
        </w:rPr>
        <w:t>Lei</w:t>
      </w:r>
      <w:proofErr w:type="spellEnd"/>
      <w:r w:rsidRPr="006730E3">
        <w:rPr>
          <w:rFonts w:ascii="Calibri" w:hAnsi="Calibri" w:cs="Times New Roman"/>
          <w:sz w:val="24"/>
          <w:szCs w:val="24"/>
        </w:rPr>
        <w:t xml:space="preserve"> 10/2007)»,</w:t>
      </w:r>
      <w:r w:rsidR="0099411D">
        <w:rPr>
          <w:rFonts w:ascii="Calibri" w:hAnsi="Calibri" w:cs="Times New Roman"/>
          <w:sz w:val="24"/>
          <w:szCs w:val="24"/>
        </w:rPr>
        <w:t xml:space="preserve"> en </w:t>
      </w:r>
      <w:r w:rsidR="00DF62D5">
        <w:rPr>
          <w:rFonts w:ascii="Calibri" w:hAnsi="Calibri" w:cs="Times New Roman"/>
          <w:sz w:val="24"/>
          <w:szCs w:val="24"/>
        </w:rPr>
        <w:t>González Dorrego, I. (coord.),</w:t>
      </w:r>
      <w:r w:rsidRPr="006730E3">
        <w:rPr>
          <w:rFonts w:ascii="Calibri" w:hAnsi="Calibri" w:cs="Times New Roman"/>
          <w:sz w:val="24"/>
          <w:szCs w:val="24"/>
        </w:rPr>
        <w:t xml:space="preserve"> </w:t>
      </w:r>
      <w:proofErr w:type="spellStart"/>
      <w:r w:rsidRPr="006730E3">
        <w:rPr>
          <w:rFonts w:ascii="Calibri" w:hAnsi="Calibri" w:cs="Times New Roman"/>
          <w:i/>
          <w:sz w:val="24"/>
          <w:szCs w:val="24"/>
        </w:rPr>
        <w:t>Estudos</w:t>
      </w:r>
      <w:proofErr w:type="spellEnd"/>
      <w:r w:rsidRPr="006730E3">
        <w:rPr>
          <w:rFonts w:ascii="Calibri" w:hAnsi="Calibri" w:cs="Times New Roman"/>
          <w:i/>
          <w:sz w:val="24"/>
          <w:szCs w:val="24"/>
        </w:rPr>
        <w:t xml:space="preserve"> sobre a </w:t>
      </w:r>
      <w:proofErr w:type="spellStart"/>
      <w:r w:rsidRPr="006730E3">
        <w:rPr>
          <w:rFonts w:ascii="Calibri" w:hAnsi="Calibri" w:cs="Times New Roman"/>
          <w:i/>
          <w:sz w:val="24"/>
          <w:szCs w:val="24"/>
        </w:rPr>
        <w:t>Lei</w:t>
      </w:r>
      <w:proofErr w:type="spellEnd"/>
      <w:r w:rsidRPr="006730E3">
        <w:rPr>
          <w:rFonts w:ascii="Calibri" w:hAnsi="Calibri" w:cs="Times New Roman"/>
          <w:i/>
          <w:sz w:val="24"/>
          <w:szCs w:val="24"/>
        </w:rPr>
        <w:t xml:space="preserve"> de </w:t>
      </w:r>
      <w:proofErr w:type="spellStart"/>
      <w:r w:rsidRPr="006730E3">
        <w:rPr>
          <w:rFonts w:ascii="Calibri" w:hAnsi="Calibri" w:cs="Times New Roman"/>
          <w:i/>
          <w:sz w:val="24"/>
          <w:szCs w:val="24"/>
        </w:rPr>
        <w:t>Dereito</w:t>
      </w:r>
      <w:proofErr w:type="spellEnd"/>
      <w:r w:rsidRPr="006730E3">
        <w:rPr>
          <w:rFonts w:ascii="Calibri" w:hAnsi="Calibri" w:cs="Times New Roman"/>
          <w:i/>
          <w:sz w:val="24"/>
          <w:szCs w:val="24"/>
        </w:rPr>
        <w:t xml:space="preserve"> civil de Galicia. </w:t>
      </w:r>
      <w:proofErr w:type="spellStart"/>
      <w:r w:rsidRPr="006730E3">
        <w:rPr>
          <w:rFonts w:ascii="Calibri" w:hAnsi="Calibri" w:cs="Times New Roman"/>
          <w:i/>
          <w:sz w:val="24"/>
          <w:szCs w:val="24"/>
        </w:rPr>
        <w:t>Lei</w:t>
      </w:r>
      <w:proofErr w:type="spellEnd"/>
      <w:r w:rsidRPr="006730E3">
        <w:rPr>
          <w:rFonts w:ascii="Calibri" w:hAnsi="Calibri" w:cs="Times New Roman"/>
          <w:i/>
          <w:sz w:val="24"/>
          <w:szCs w:val="24"/>
        </w:rPr>
        <w:t xml:space="preserve"> 2/2006, de 14 de </w:t>
      </w:r>
      <w:proofErr w:type="spellStart"/>
      <w:r w:rsidRPr="006730E3">
        <w:rPr>
          <w:rFonts w:ascii="Calibri" w:hAnsi="Calibri" w:cs="Times New Roman"/>
          <w:i/>
          <w:sz w:val="24"/>
          <w:szCs w:val="24"/>
        </w:rPr>
        <w:t>xuño</w:t>
      </w:r>
      <w:proofErr w:type="spellEnd"/>
      <w:r w:rsidRPr="006730E3">
        <w:rPr>
          <w:rFonts w:ascii="Calibri" w:hAnsi="Calibri" w:cs="Times New Roman"/>
          <w:sz w:val="24"/>
          <w:szCs w:val="24"/>
        </w:rPr>
        <w:t>, Colegio de Registradores de la Propiedad y Mercantiles de España, Santiago de Compostela, 2009, págs. 595-804.</w:t>
      </w:r>
    </w:p>
    <w:p w:rsidR="006C6C27"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Hernández Ibáñez, </w:t>
      </w:r>
      <w:r w:rsidRPr="004E537A">
        <w:rPr>
          <w:rFonts w:ascii="Calibri" w:hAnsi="Calibri" w:cs="Times New Roman"/>
          <w:sz w:val="24"/>
          <w:szCs w:val="24"/>
        </w:rPr>
        <w:t>Carmen</w:t>
      </w:r>
      <w:r w:rsidR="00372B5D" w:rsidRPr="006730E3">
        <w:rPr>
          <w:rFonts w:ascii="Calibri" w:hAnsi="Calibri" w:cs="Times New Roman"/>
          <w:sz w:val="24"/>
          <w:szCs w:val="24"/>
        </w:rPr>
        <w:t>, «La Disposición adicional tercera de la Ley de Derecho civil de Galicia: un desatino del legislador gallego»,</w:t>
      </w:r>
      <w:r w:rsidR="0099411D">
        <w:rPr>
          <w:rFonts w:ascii="Calibri" w:hAnsi="Calibri" w:cs="Times New Roman"/>
          <w:sz w:val="24"/>
          <w:szCs w:val="24"/>
        </w:rPr>
        <w:t xml:space="preserve"> en </w:t>
      </w:r>
      <w:r w:rsidR="0099411D" w:rsidRPr="006730E3">
        <w:rPr>
          <w:rFonts w:ascii="Calibri" w:hAnsi="Calibri" w:cs="Times New Roman"/>
          <w:sz w:val="24"/>
          <w:szCs w:val="24"/>
        </w:rPr>
        <w:t xml:space="preserve">Gómez </w:t>
      </w:r>
      <w:proofErr w:type="spellStart"/>
      <w:r w:rsidR="0099411D" w:rsidRPr="006730E3">
        <w:rPr>
          <w:rFonts w:ascii="Calibri" w:hAnsi="Calibri" w:cs="Times New Roman"/>
          <w:sz w:val="24"/>
          <w:szCs w:val="24"/>
        </w:rPr>
        <w:t>Gálligo</w:t>
      </w:r>
      <w:proofErr w:type="spellEnd"/>
      <w:r w:rsidR="0099411D" w:rsidRPr="006730E3">
        <w:rPr>
          <w:rFonts w:ascii="Calibri" w:hAnsi="Calibri" w:cs="Times New Roman"/>
          <w:sz w:val="24"/>
          <w:szCs w:val="24"/>
        </w:rPr>
        <w:t>, J. (coord.),</w:t>
      </w:r>
      <w:r w:rsidR="00372B5D" w:rsidRPr="006730E3">
        <w:rPr>
          <w:rFonts w:ascii="Calibri" w:hAnsi="Calibri" w:cs="Times New Roman"/>
          <w:sz w:val="24"/>
          <w:szCs w:val="24"/>
        </w:rPr>
        <w:t xml:space="preserve"> </w:t>
      </w:r>
      <w:r w:rsidR="00372B5D" w:rsidRPr="006730E3">
        <w:rPr>
          <w:rFonts w:ascii="Calibri" w:hAnsi="Calibri" w:cs="Times New Roman"/>
          <w:i/>
          <w:sz w:val="24"/>
          <w:szCs w:val="24"/>
        </w:rPr>
        <w:t>Homenaje al Profesor Manuel Cuadrado Iglesias</w:t>
      </w:r>
      <w:r w:rsidR="00D17FE7" w:rsidRPr="006730E3">
        <w:rPr>
          <w:rFonts w:ascii="Calibri" w:hAnsi="Calibri" w:cs="Times New Roman"/>
          <w:sz w:val="24"/>
          <w:szCs w:val="24"/>
        </w:rPr>
        <w:t xml:space="preserve">, t. I, </w:t>
      </w:r>
      <w:r w:rsidR="00372B5D" w:rsidRPr="006730E3">
        <w:rPr>
          <w:rFonts w:ascii="Calibri" w:hAnsi="Calibri" w:cs="Times New Roman"/>
          <w:sz w:val="24"/>
          <w:szCs w:val="24"/>
        </w:rPr>
        <w:t xml:space="preserve">Thomson </w:t>
      </w:r>
      <w:proofErr w:type="spellStart"/>
      <w:r w:rsidR="00372B5D" w:rsidRPr="006730E3">
        <w:rPr>
          <w:rFonts w:ascii="Calibri" w:hAnsi="Calibri" w:cs="Times New Roman"/>
          <w:sz w:val="24"/>
          <w:szCs w:val="24"/>
        </w:rPr>
        <w:t>Civitas</w:t>
      </w:r>
      <w:proofErr w:type="spellEnd"/>
      <w:r w:rsidR="00372B5D" w:rsidRPr="006730E3">
        <w:rPr>
          <w:rFonts w:ascii="Calibri" w:hAnsi="Calibri" w:cs="Times New Roman"/>
          <w:sz w:val="24"/>
          <w:szCs w:val="24"/>
        </w:rPr>
        <w:t xml:space="preserve">, </w:t>
      </w:r>
      <w:proofErr w:type="spellStart"/>
      <w:r w:rsidR="00372B5D" w:rsidRPr="006730E3">
        <w:rPr>
          <w:rFonts w:ascii="Calibri" w:hAnsi="Calibri" w:cs="Times New Roman"/>
          <w:sz w:val="24"/>
          <w:szCs w:val="24"/>
        </w:rPr>
        <w:t>Cizur</w:t>
      </w:r>
      <w:proofErr w:type="spellEnd"/>
      <w:r w:rsidR="00372B5D" w:rsidRPr="006730E3">
        <w:rPr>
          <w:rFonts w:ascii="Calibri" w:hAnsi="Calibri" w:cs="Times New Roman"/>
          <w:sz w:val="24"/>
          <w:szCs w:val="24"/>
        </w:rPr>
        <w:t xml:space="preserve"> Menor (Navarra), 2008, pp. 147-166.</w:t>
      </w:r>
    </w:p>
    <w:p w:rsidR="006C6C27" w:rsidRPr="006730E3" w:rsidRDefault="002D3992"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Leyva de Le</w:t>
      </w:r>
      <w:r w:rsidR="004E537A">
        <w:rPr>
          <w:rFonts w:ascii="Calibri" w:hAnsi="Calibri" w:cs="Times New Roman"/>
          <w:smallCaps/>
          <w:sz w:val="24"/>
          <w:szCs w:val="24"/>
        </w:rPr>
        <w:t xml:space="preserve">yva, </w:t>
      </w:r>
      <w:r w:rsidR="004E537A" w:rsidRPr="004E537A">
        <w:rPr>
          <w:rFonts w:ascii="Calibri" w:hAnsi="Calibri" w:cs="Times New Roman"/>
          <w:sz w:val="24"/>
          <w:szCs w:val="24"/>
        </w:rPr>
        <w:t>Juan</w:t>
      </w:r>
      <w:r w:rsidRPr="006730E3">
        <w:rPr>
          <w:rFonts w:ascii="Calibri" w:hAnsi="Calibri" w:cs="Times New Roman"/>
          <w:smallCaps/>
          <w:sz w:val="24"/>
          <w:szCs w:val="24"/>
        </w:rPr>
        <w:t xml:space="preserve"> A</w:t>
      </w:r>
      <w:r w:rsidR="004E537A">
        <w:rPr>
          <w:rFonts w:ascii="Calibri" w:hAnsi="Calibri" w:cs="Times New Roman"/>
          <w:sz w:val="24"/>
          <w:szCs w:val="24"/>
        </w:rPr>
        <w:t>ntonio</w:t>
      </w:r>
      <w:r w:rsidRPr="006730E3">
        <w:rPr>
          <w:rFonts w:ascii="Calibri" w:hAnsi="Calibri" w:cs="Times New Roman"/>
          <w:sz w:val="24"/>
          <w:szCs w:val="24"/>
        </w:rPr>
        <w:t xml:space="preserve">, «Planteamiento general de los Registros públicos y su división en Registros administrativos y Registros jurídicos», </w:t>
      </w:r>
      <w:r w:rsidRPr="006730E3">
        <w:rPr>
          <w:rFonts w:ascii="Calibri" w:hAnsi="Calibri" w:cs="Times New Roman"/>
          <w:i/>
          <w:sz w:val="24"/>
          <w:szCs w:val="24"/>
        </w:rPr>
        <w:t>RDCI</w:t>
      </w:r>
      <w:r w:rsidRPr="006730E3">
        <w:rPr>
          <w:rFonts w:ascii="Calibri" w:hAnsi="Calibri" w:cs="Times New Roman"/>
          <w:sz w:val="24"/>
          <w:szCs w:val="24"/>
        </w:rPr>
        <w:t>, LXV, núm. 591, 1989, pp. 261-308.</w:t>
      </w:r>
    </w:p>
    <w:p w:rsidR="006C6C27"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Mariño Pardo, </w:t>
      </w:r>
      <w:r w:rsidRPr="004E537A">
        <w:rPr>
          <w:rFonts w:ascii="Calibri" w:hAnsi="Calibri" w:cs="Times New Roman"/>
          <w:sz w:val="24"/>
          <w:szCs w:val="24"/>
        </w:rPr>
        <w:t>Francisco</w:t>
      </w:r>
      <w:r w:rsidR="00DA6F9E" w:rsidRPr="006730E3">
        <w:rPr>
          <w:rFonts w:ascii="Calibri" w:hAnsi="Calibri" w:cs="Times New Roman"/>
          <w:sz w:val="24"/>
          <w:szCs w:val="24"/>
        </w:rPr>
        <w:t>, «Parejas de hecho en Galicia. Derechos y obligaciones de los convivientes</w:t>
      </w:r>
      <w:r w:rsidR="007A306A" w:rsidRPr="006730E3">
        <w:rPr>
          <w:rFonts w:ascii="Calibri" w:hAnsi="Calibri" w:cs="Times New Roman"/>
          <w:sz w:val="24"/>
          <w:szCs w:val="24"/>
        </w:rPr>
        <w:t>.</w:t>
      </w:r>
      <w:r w:rsidR="00D17FE7" w:rsidRPr="006730E3">
        <w:rPr>
          <w:rFonts w:ascii="Calibri" w:hAnsi="Calibri" w:cs="Times New Roman"/>
          <w:sz w:val="24"/>
          <w:szCs w:val="24"/>
        </w:rPr>
        <w:t xml:space="preserve"> </w:t>
      </w:r>
      <w:r w:rsidR="00DA6F9E" w:rsidRPr="006730E3">
        <w:rPr>
          <w:rFonts w:ascii="Calibri" w:hAnsi="Calibri" w:cs="Times New Roman"/>
          <w:sz w:val="24"/>
          <w:szCs w:val="24"/>
        </w:rPr>
        <w:t xml:space="preserve"> Efectos legales en el régimen económico», </w:t>
      </w:r>
      <w:r w:rsidR="00DA6F9E" w:rsidRPr="006730E3">
        <w:rPr>
          <w:rFonts w:ascii="Calibri" w:hAnsi="Calibri" w:cs="Times New Roman"/>
          <w:i/>
          <w:sz w:val="24"/>
          <w:szCs w:val="24"/>
        </w:rPr>
        <w:t>Iuris Prudente</w:t>
      </w:r>
      <w:r w:rsidR="00DA6F9E" w:rsidRPr="006730E3">
        <w:rPr>
          <w:rFonts w:ascii="Calibri" w:hAnsi="Calibri" w:cs="Times New Roman"/>
          <w:sz w:val="24"/>
          <w:szCs w:val="24"/>
        </w:rPr>
        <w:t>,</w:t>
      </w:r>
      <w:r w:rsidR="0099411D">
        <w:rPr>
          <w:rFonts w:ascii="Calibri" w:hAnsi="Calibri" w:cs="Times New Roman"/>
          <w:sz w:val="24"/>
          <w:szCs w:val="24"/>
        </w:rPr>
        <w:t xml:space="preserve"> 2014. Disponible en </w:t>
      </w:r>
      <w:r w:rsidR="00DA6F9E" w:rsidRPr="006730E3">
        <w:rPr>
          <w:rFonts w:ascii="Calibri" w:hAnsi="Calibri" w:cs="Times New Roman"/>
          <w:sz w:val="24"/>
          <w:szCs w:val="24"/>
        </w:rPr>
        <w:t>http://www.iurisprudente.com/2014/04/parejas-de-h</w:t>
      </w:r>
      <w:r w:rsidR="0099411D">
        <w:rPr>
          <w:rFonts w:ascii="Calibri" w:hAnsi="Calibri" w:cs="Times New Roman"/>
          <w:sz w:val="24"/>
          <w:szCs w:val="24"/>
        </w:rPr>
        <w:t>echo-en-galicia-derechos-y.html</w:t>
      </w:r>
      <w:r w:rsidR="00DA6F9E" w:rsidRPr="006730E3">
        <w:rPr>
          <w:rFonts w:ascii="Calibri" w:hAnsi="Calibri" w:cs="Times New Roman"/>
          <w:sz w:val="24"/>
          <w:szCs w:val="24"/>
        </w:rPr>
        <w:t xml:space="preserve"> </w:t>
      </w:r>
      <w:r w:rsidR="0099411D">
        <w:rPr>
          <w:rFonts w:ascii="Calibri" w:hAnsi="Calibri" w:cs="Times New Roman"/>
          <w:sz w:val="24"/>
          <w:szCs w:val="24"/>
        </w:rPr>
        <w:t xml:space="preserve">[Consulta: 17 septiembre </w:t>
      </w:r>
      <w:r w:rsidR="00DA6F9E" w:rsidRPr="006730E3">
        <w:rPr>
          <w:rFonts w:ascii="Calibri" w:hAnsi="Calibri" w:cs="Times New Roman"/>
          <w:sz w:val="24"/>
          <w:szCs w:val="24"/>
        </w:rPr>
        <w:t>2018</w:t>
      </w:r>
      <w:r w:rsidR="0099411D">
        <w:rPr>
          <w:rFonts w:ascii="Calibri" w:hAnsi="Calibri" w:cs="Times New Roman"/>
          <w:sz w:val="24"/>
          <w:szCs w:val="24"/>
        </w:rPr>
        <w:t>]</w:t>
      </w:r>
      <w:r w:rsidR="00DA6F9E" w:rsidRPr="006730E3">
        <w:rPr>
          <w:rFonts w:ascii="Calibri" w:hAnsi="Calibri" w:cs="Times New Roman"/>
          <w:sz w:val="24"/>
          <w:szCs w:val="24"/>
        </w:rPr>
        <w:t>.</w:t>
      </w:r>
    </w:p>
    <w:p w:rsidR="006C6C27" w:rsidRPr="006730E3" w:rsidRDefault="00032BEC"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lastRenderedPageBreak/>
        <w:t xml:space="preserve">Martín </w:t>
      </w:r>
      <w:proofErr w:type="spellStart"/>
      <w:r w:rsidRPr="006730E3">
        <w:rPr>
          <w:rFonts w:ascii="Calibri" w:hAnsi="Calibri" w:cs="Times New Roman"/>
          <w:smallCaps/>
          <w:sz w:val="24"/>
          <w:szCs w:val="24"/>
        </w:rPr>
        <w:t>Casals</w:t>
      </w:r>
      <w:proofErr w:type="spellEnd"/>
      <w:r w:rsidR="004E537A">
        <w:rPr>
          <w:rFonts w:ascii="Calibri" w:hAnsi="Calibri" w:cs="Times New Roman"/>
          <w:sz w:val="24"/>
          <w:szCs w:val="24"/>
        </w:rPr>
        <w:t>, Miquel</w:t>
      </w:r>
      <w:r w:rsidRPr="006730E3">
        <w:rPr>
          <w:rFonts w:ascii="Calibri" w:hAnsi="Calibri" w:cs="Times New Roman"/>
          <w:sz w:val="24"/>
          <w:szCs w:val="24"/>
        </w:rPr>
        <w:t>,</w:t>
      </w:r>
      <w:r w:rsidRPr="006730E3">
        <w:rPr>
          <w:rFonts w:ascii="Calibri" w:hAnsi="Calibri" w:cs="Times New Roman"/>
          <w:smallCaps/>
          <w:sz w:val="24"/>
          <w:szCs w:val="24"/>
        </w:rPr>
        <w:t xml:space="preserve"> «</w:t>
      </w:r>
      <w:r w:rsidRPr="006730E3">
        <w:rPr>
          <w:rFonts w:ascii="Calibri" w:hAnsi="Calibri" w:cs="Times New Roman"/>
          <w:sz w:val="24"/>
          <w:szCs w:val="24"/>
        </w:rPr>
        <w:t xml:space="preserve">La </w:t>
      </w:r>
      <w:proofErr w:type="spellStart"/>
      <w:r w:rsidRPr="006730E3">
        <w:rPr>
          <w:rFonts w:ascii="Calibri" w:hAnsi="Calibri" w:cs="Times New Roman"/>
          <w:sz w:val="24"/>
          <w:szCs w:val="24"/>
        </w:rPr>
        <w:t>regulació</w:t>
      </w:r>
      <w:proofErr w:type="spellEnd"/>
      <w:r w:rsidRPr="006730E3">
        <w:rPr>
          <w:rFonts w:ascii="Calibri" w:hAnsi="Calibri" w:cs="Times New Roman"/>
          <w:sz w:val="24"/>
          <w:szCs w:val="24"/>
        </w:rPr>
        <w:t xml:space="preserve"> de la parella de </w:t>
      </w:r>
      <w:proofErr w:type="spellStart"/>
      <w:r w:rsidRPr="006730E3">
        <w:rPr>
          <w:rFonts w:ascii="Calibri" w:hAnsi="Calibri" w:cs="Times New Roman"/>
          <w:sz w:val="24"/>
          <w:szCs w:val="24"/>
        </w:rPr>
        <w:t>fet</w:t>
      </w:r>
      <w:proofErr w:type="spellEnd"/>
      <w:r w:rsidRPr="006730E3">
        <w:rPr>
          <w:rFonts w:ascii="Calibri" w:hAnsi="Calibri" w:cs="Times New Roman"/>
          <w:sz w:val="24"/>
          <w:szCs w:val="24"/>
        </w:rPr>
        <w:t xml:space="preserve">: </w:t>
      </w:r>
      <w:proofErr w:type="spellStart"/>
      <w:r w:rsidRPr="006730E3">
        <w:rPr>
          <w:rFonts w:ascii="Calibri" w:hAnsi="Calibri" w:cs="Times New Roman"/>
          <w:sz w:val="24"/>
          <w:szCs w:val="24"/>
        </w:rPr>
        <w:t>lleis</w:t>
      </w:r>
      <w:proofErr w:type="spellEnd"/>
      <w:r w:rsidRPr="006730E3">
        <w:rPr>
          <w:rFonts w:ascii="Calibri" w:hAnsi="Calibri" w:cs="Times New Roman"/>
          <w:sz w:val="24"/>
          <w:szCs w:val="24"/>
        </w:rPr>
        <w:t xml:space="preserve"> i </w:t>
      </w:r>
      <w:proofErr w:type="spellStart"/>
      <w:r w:rsidRPr="006730E3">
        <w:rPr>
          <w:rFonts w:ascii="Calibri" w:hAnsi="Calibri" w:cs="Times New Roman"/>
          <w:sz w:val="24"/>
          <w:szCs w:val="24"/>
        </w:rPr>
        <w:t>models</w:t>
      </w:r>
      <w:proofErr w:type="spellEnd"/>
      <w:r w:rsidRPr="006730E3">
        <w:rPr>
          <w:rFonts w:ascii="Calibri" w:hAnsi="Calibri" w:cs="Times New Roman"/>
          <w:sz w:val="24"/>
          <w:szCs w:val="24"/>
        </w:rPr>
        <w:t>»,</w:t>
      </w:r>
      <w:r w:rsidR="0099411D">
        <w:rPr>
          <w:rFonts w:ascii="Calibri" w:hAnsi="Calibri" w:cs="Times New Roman"/>
          <w:sz w:val="24"/>
          <w:szCs w:val="24"/>
        </w:rPr>
        <w:t xml:space="preserve"> en </w:t>
      </w:r>
      <w:r w:rsidR="0099411D" w:rsidRPr="006730E3">
        <w:rPr>
          <w:rFonts w:ascii="Calibri" w:hAnsi="Calibri" w:cs="Times New Roman"/>
          <w:sz w:val="24"/>
          <w:szCs w:val="24"/>
        </w:rPr>
        <w:t xml:space="preserve">Área de </w:t>
      </w:r>
      <w:proofErr w:type="spellStart"/>
      <w:r w:rsidR="0099411D" w:rsidRPr="006730E3">
        <w:rPr>
          <w:rFonts w:ascii="Calibri" w:hAnsi="Calibri" w:cs="Times New Roman"/>
          <w:sz w:val="24"/>
          <w:szCs w:val="24"/>
        </w:rPr>
        <w:t>Dret</w:t>
      </w:r>
      <w:proofErr w:type="spellEnd"/>
      <w:r w:rsidR="0099411D" w:rsidRPr="006730E3">
        <w:rPr>
          <w:rFonts w:ascii="Calibri" w:hAnsi="Calibri" w:cs="Times New Roman"/>
          <w:sz w:val="24"/>
          <w:szCs w:val="24"/>
        </w:rPr>
        <w:t xml:space="preserve"> civil, </w:t>
      </w:r>
      <w:proofErr w:type="spellStart"/>
      <w:r w:rsidR="0099411D" w:rsidRPr="006730E3">
        <w:rPr>
          <w:rFonts w:ascii="Calibri" w:hAnsi="Calibri" w:cs="Times New Roman"/>
          <w:sz w:val="24"/>
          <w:szCs w:val="24"/>
        </w:rPr>
        <w:t>Universitat</w:t>
      </w:r>
      <w:proofErr w:type="spellEnd"/>
      <w:r w:rsidR="0099411D" w:rsidRPr="006730E3">
        <w:rPr>
          <w:rFonts w:ascii="Calibri" w:hAnsi="Calibri" w:cs="Times New Roman"/>
          <w:sz w:val="24"/>
          <w:szCs w:val="24"/>
        </w:rPr>
        <w:t xml:space="preserve"> de Girona (coord.)</w:t>
      </w:r>
      <w:r w:rsidR="0099411D">
        <w:rPr>
          <w:rFonts w:ascii="Calibri" w:hAnsi="Calibri" w:cs="Times New Roman"/>
          <w:sz w:val="24"/>
          <w:szCs w:val="24"/>
        </w:rPr>
        <w:t>,</w:t>
      </w:r>
      <w:r w:rsidRPr="006730E3">
        <w:rPr>
          <w:rFonts w:ascii="Calibri" w:hAnsi="Calibri" w:cs="Times New Roman"/>
          <w:sz w:val="24"/>
          <w:szCs w:val="24"/>
        </w:rPr>
        <w:t xml:space="preserve"> </w:t>
      </w:r>
      <w:proofErr w:type="spellStart"/>
      <w:r w:rsidRPr="006730E3">
        <w:rPr>
          <w:rFonts w:ascii="Calibri" w:hAnsi="Calibri" w:cs="Times New Roman"/>
          <w:i/>
          <w:sz w:val="24"/>
          <w:szCs w:val="24"/>
        </w:rPr>
        <w:t>Nous</w:t>
      </w:r>
      <w:proofErr w:type="spellEnd"/>
      <w:r w:rsidRPr="006730E3">
        <w:rPr>
          <w:rFonts w:ascii="Calibri" w:hAnsi="Calibri" w:cs="Times New Roman"/>
          <w:i/>
          <w:sz w:val="24"/>
          <w:szCs w:val="24"/>
        </w:rPr>
        <w:t xml:space="preserve"> reptes del </w:t>
      </w:r>
      <w:proofErr w:type="spellStart"/>
      <w:r w:rsidRPr="006730E3">
        <w:rPr>
          <w:rFonts w:ascii="Calibri" w:hAnsi="Calibri" w:cs="Times New Roman"/>
          <w:i/>
          <w:sz w:val="24"/>
          <w:szCs w:val="24"/>
        </w:rPr>
        <w:t>Dret</w:t>
      </w:r>
      <w:proofErr w:type="spellEnd"/>
      <w:r w:rsidRPr="006730E3">
        <w:rPr>
          <w:rFonts w:ascii="Calibri" w:hAnsi="Calibri" w:cs="Times New Roman"/>
          <w:i/>
          <w:sz w:val="24"/>
          <w:szCs w:val="24"/>
        </w:rPr>
        <w:t xml:space="preserve"> de familia. </w:t>
      </w:r>
      <w:proofErr w:type="spellStart"/>
      <w:r w:rsidRPr="006730E3">
        <w:rPr>
          <w:rFonts w:ascii="Calibri" w:hAnsi="Calibri" w:cs="Times New Roman"/>
          <w:i/>
          <w:sz w:val="24"/>
          <w:szCs w:val="24"/>
        </w:rPr>
        <w:t>Materials</w:t>
      </w:r>
      <w:proofErr w:type="spellEnd"/>
      <w:r w:rsidRPr="006730E3">
        <w:rPr>
          <w:rFonts w:ascii="Calibri" w:hAnsi="Calibri" w:cs="Times New Roman"/>
          <w:i/>
          <w:sz w:val="24"/>
          <w:szCs w:val="24"/>
        </w:rPr>
        <w:t xml:space="preserve"> de les </w:t>
      </w:r>
      <w:proofErr w:type="spellStart"/>
      <w:r w:rsidRPr="006730E3">
        <w:rPr>
          <w:rFonts w:ascii="Calibri" w:hAnsi="Calibri" w:cs="Times New Roman"/>
          <w:i/>
          <w:sz w:val="24"/>
          <w:szCs w:val="24"/>
        </w:rPr>
        <w:t>Tretzenes</w:t>
      </w:r>
      <w:proofErr w:type="spellEnd"/>
      <w:r w:rsidRPr="006730E3">
        <w:rPr>
          <w:rFonts w:ascii="Calibri" w:hAnsi="Calibri" w:cs="Times New Roman"/>
          <w:i/>
          <w:sz w:val="24"/>
          <w:szCs w:val="24"/>
        </w:rPr>
        <w:t xml:space="preserve"> </w:t>
      </w:r>
      <w:proofErr w:type="spellStart"/>
      <w:r w:rsidRPr="006730E3">
        <w:rPr>
          <w:rFonts w:ascii="Calibri" w:hAnsi="Calibri" w:cs="Times New Roman"/>
          <w:i/>
          <w:sz w:val="24"/>
          <w:szCs w:val="24"/>
        </w:rPr>
        <w:t>Jornades</w:t>
      </w:r>
      <w:proofErr w:type="spellEnd"/>
      <w:r w:rsidRPr="006730E3">
        <w:rPr>
          <w:rFonts w:ascii="Calibri" w:hAnsi="Calibri" w:cs="Times New Roman"/>
          <w:i/>
          <w:sz w:val="24"/>
          <w:szCs w:val="24"/>
        </w:rPr>
        <w:t xml:space="preserve"> de </w:t>
      </w:r>
      <w:proofErr w:type="spellStart"/>
      <w:r w:rsidRPr="006730E3">
        <w:rPr>
          <w:rFonts w:ascii="Calibri" w:hAnsi="Calibri" w:cs="Times New Roman"/>
          <w:i/>
          <w:sz w:val="24"/>
          <w:szCs w:val="24"/>
        </w:rPr>
        <w:t>Dret</w:t>
      </w:r>
      <w:proofErr w:type="spellEnd"/>
      <w:r w:rsidRPr="006730E3">
        <w:rPr>
          <w:rFonts w:ascii="Calibri" w:hAnsi="Calibri" w:cs="Times New Roman"/>
          <w:i/>
          <w:sz w:val="24"/>
          <w:szCs w:val="24"/>
        </w:rPr>
        <w:t xml:space="preserve"> </w:t>
      </w:r>
      <w:proofErr w:type="spellStart"/>
      <w:r w:rsidRPr="006730E3">
        <w:rPr>
          <w:rFonts w:ascii="Calibri" w:hAnsi="Calibri" w:cs="Times New Roman"/>
          <w:i/>
          <w:sz w:val="24"/>
          <w:szCs w:val="24"/>
        </w:rPr>
        <w:t>Català</w:t>
      </w:r>
      <w:proofErr w:type="spellEnd"/>
      <w:r w:rsidRPr="006730E3">
        <w:rPr>
          <w:rFonts w:ascii="Calibri" w:hAnsi="Calibri" w:cs="Times New Roman"/>
          <w:i/>
          <w:sz w:val="24"/>
          <w:szCs w:val="24"/>
        </w:rPr>
        <w:t xml:space="preserve"> a </w:t>
      </w:r>
      <w:proofErr w:type="spellStart"/>
      <w:proofErr w:type="gramStart"/>
      <w:r w:rsidRPr="006730E3">
        <w:rPr>
          <w:rFonts w:ascii="Calibri" w:hAnsi="Calibri" w:cs="Times New Roman"/>
          <w:i/>
          <w:sz w:val="24"/>
          <w:szCs w:val="24"/>
        </w:rPr>
        <w:t>Tossa</w:t>
      </w:r>
      <w:proofErr w:type="spellEnd"/>
      <w:r w:rsidRPr="006730E3">
        <w:rPr>
          <w:rFonts w:ascii="Calibri" w:hAnsi="Calibri" w:cs="Times New Roman"/>
          <w:sz w:val="24"/>
          <w:szCs w:val="24"/>
        </w:rPr>
        <w:t xml:space="preserve"> ,</w:t>
      </w:r>
      <w:proofErr w:type="gramEnd"/>
      <w:r w:rsidRPr="006730E3">
        <w:rPr>
          <w:rFonts w:ascii="Calibri" w:hAnsi="Calibri" w:cs="Times New Roman"/>
          <w:sz w:val="24"/>
          <w:szCs w:val="24"/>
        </w:rPr>
        <w:t xml:space="preserve"> Documenta Universitaria, Girona, 2005, pp. 335-358.</w:t>
      </w:r>
    </w:p>
    <w:p w:rsidR="006C6C27" w:rsidRPr="006730E3" w:rsidRDefault="006C6C27" w:rsidP="00416B3A">
      <w:pPr>
        <w:spacing w:line="312" w:lineRule="auto"/>
        <w:jc w:val="both"/>
        <w:rPr>
          <w:rFonts w:ascii="Calibri" w:hAnsi="Calibri" w:cs="Times New Roman"/>
          <w:sz w:val="24"/>
          <w:szCs w:val="24"/>
          <w:bdr w:val="none" w:sz="0" w:space="0" w:color="auto" w:frame="1"/>
        </w:rPr>
      </w:pPr>
      <w:r w:rsidRPr="006730E3">
        <w:rPr>
          <w:rFonts w:ascii="Calibri" w:hAnsi="Calibri" w:cs="Times New Roman"/>
          <w:sz w:val="24"/>
          <w:szCs w:val="24"/>
        </w:rPr>
        <w:t xml:space="preserve">– </w:t>
      </w:r>
      <w:r w:rsidR="00F726BE" w:rsidRPr="006730E3">
        <w:rPr>
          <w:rFonts w:ascii="Calibri" w:hAnsi="Calibri" w:cs="Times New Roman"/>
          <w:smallCaps/>
          <w:sz w:val="24"/>
          <w:szCs w:val="24"/>
        </w:rPr>
        <w:t>«</w:t>
      </w:r>
      <w:r w:rsidR="00F726BE" w:rsidRPr="006730E3">
        <w:rPr>
          <w:rFonts w:ascii="Calibri" w:hAnsi="Calibri" w:cs="Times New Roman"/>
          <w:sz w:val="24"/>
          <w:szCs w:val="24"/>
        </w:rPr>
        <w:t xml:space="preserve">El derecho a la “convivencia </w:t>
      </w:r>
      <w:proofErr w:type="spellStart"/>
      <w:r w:rsidR="00F726BE" w:rsidRPr="006730E3">
        <w:rPr>
          <w:rFonts w:ascii="Calibri" w:hAnsi="Calibri" w:cs="Times New Roman"/>
          <w:sz w:val="24"/>
          <w:szCs w:val="24"/>
        </w:rPr>
        <w:t>anómica</w:t>
      </w:r>
      <w:proofErr w:type="spellEnd"/>
      <w:r w:rsidR="00F726BE" w:rsidRPr="006730E3">
        <w:rPr>
          <w:rFonts w:ascii="Calibri" w:hAnsi="Calibri" w:cs="Times New Roman"/>
          <w:sz w:val="24"/>
          <w:szCs w:val="24"/>
        </w:rPr>
        <w:t xml:space="preserve"> en pareja”: ¿Un nuevo derecho fundamental? Comentario general a la STC de 23.4.2013 (RTC 2013\93) », </w:t>
      </w:r>
      <w:hyperlink r:id="rId11" w:history="1">
        <w:r w:rsidR="00F726BE" w:rsidRPr="006730E3">
          <w:rPr>
            <w:rStyle w:val="Hipervnculo"/>
            <w:rFonts w:ascii="Calibri" w:hAnsi="Calibri" w:cs="Times New Roman"/>
            <w:i/>
            <w:color w:val="auto"/>
            <w:sz w:val="24"/>
            <w:szCs w:val="24"/>
            <w:u w:val="none"/>
            <w:bdr w:val="none" w:sz="0" w:space="0" w:color="auto" w:frame="1"/>
          </w:rPr>
          <w:t>Indret: Revista para el Análisis del Derecho</w:t>
        </w:r>
      </w:hyperlink>
      <w:r w:rsidR="0099411D">
        <w:rPr>
          <w:rFonts w:ascii="Calibri" w:hAnsi="Calibri" w:cs="Times New Roman"/>
          <w:sz w:val="24"/>
          <w:szCs w:val="24"/>
          <w:bdr w:val="none" w:sz="0" w:space="0" w:color="auto" w:frame="1"/>
        </w:rPr>
        <w:t xml:space="preserve">, </w:t>
      </w:r>
      <w:proofErr w:type="spellStart"/>
      <w:r w:rsidR="0099411D">
        <w:rPr>
          <w:rFonts w:ascii="Calibri" w:hAnsi="Calibri" w:cs="Times New Roman"/>
          <w:sz w:val="24"/>
          <w:szCs w:val="24"/>
          <w:bdr w:val="none" w:sz="0" w:space="0" w:color="auto" w:frame="1"/>
        </w:rPr>
        <w:t>núm</w:t>
      </w:r>
      <w:proofErr w:type="spellEnd"/>
      <w:r w:rsidR="0099411D">
        <w:rPr>
          <w:rFonts w:ascii="Calibri" w:hAnsi="Calibri" w:cs="Times New Roman"/>
          <w:sz w:val="24"/>
          <w:szCs w:val="24"/>
          <w:bdr w:val="none" w:sz="0" w:space="0" w:color="auto" w:frame="1"/>
        </w:rPr>
        <w:t xml:space="preserve"> 3, 2013, pp. 1-43. D</w:t>
      </w:r>
      <w:r w:rsidR="00F726BE" w:rsidRPr="006730E3">
        <w:rPr>
          <w:rFonts w:ascii="Calibri" w:hAnsi="Calibri" w:cs="Times New Roman"/>
          <w:sz w:val="24"/>
          <w:szCs w:val="24"/>
          <w:bdr w:val="none" w:sz="0" w:space="0" w:color="auto" w:frame="1"/>
        </w:rPr>
        <w:t>isponible en</w:t>
      </w:r>
      <w:r w:rsidR="0099411D">
        <w:rPr>
          <w:rFonts w:ascii="Calibri" w:hAnsi="Calibri" w:cs="Times New Roman"/>
          <w:sz w:val="24"/>
          <w:szCs w:val="24"/>
          <w:bdr w:val="none" w:sz="0" w:space="0" w:color="auto" w:frame="1"/>
        </w:rPr>
        <w:t xml:space="preserve"> </w:t>
      </w:r>
      <w:r w:rsidR="0099411D" w:rsidRPr="0099411D">
        <w:rPr>
          <w:rFonts w:ascii="Calibri" w:hAnsi="Calibri" w:cs="Times New Roman"/>
          <w:sz w:val="24"/>
          <w:szCs w:val="24"/>
          <w:bdr w:val="none" w:sz="0" w:space="0" w:color="auto" w:frame="1"/>
        </w:rPr>
        <w:t>https://dialnet.unirioja.es/</w:t>
      </w:r>
      <w:r w:rsidR="0099411D">
        <w:rPr>
          <w:rFonts w:ascii="Calibri" w:hAnsi="Calibri" w:cs="Times New Roman"/>
          <w:sz w:val="24"/>
          <w:szCs w:val="24"/>
          <w:bdr w:val="none" w:sz="0" w:space="0" w:color="auto" w:frame="1"/>
        </w:rPr>
        <w:t xml:space="preserve"> [Consulta: 10 octubre </w:t>
      </w:r>
      <w:r w:rsidR="00A65B3C" w:rsidRPr="006730E3">
        <w:rPr>
          <w:rFonts w:ascii="Calibri" w:hAnsi="Calibri" w:cs="Times New Roman"/>
          <w:sz w:val="24"/>
          <w:szCs w:val="24"/>
          <w:bdr w:val="none" w:sz="0" w:space="0" w:color="auto" w:frame="1"/>
        </w:rPr>
        <w:t>2018</w:t>
      </w:r>
      <w:r w:rsidR="0099411D">
        <w:rPr>
          <w:rFonts w:ascii="Calibri" w:hAnsi="Calibri" w:cs="Times New Roman"/>
          <w:sz w:val="24"/>
          <w:szCs w:val="24"/>
          <w:bdr w:val="none" w:sz="0" w:space="0" w:color="auto" w:frame="1"/>
        </w:rPr>
        <w:t>]</w:t>
      </w:r>
      <w:r w:rsidR="00A65B3C" w:rsidRPr="006730E3">
        <w:rPr>
          <w:rFonts w:ascii="Calibri" w:hAnsi="Calibri" w:cs="Times New Roman"/>
          <w:sz w:val="24"/>
          <w:szCs w:val="24"/>
          <w:bdr w:val="none" w:sz="0" w:space="0" w:color="auto" w:frame="1"/>
        </w:rPr>
        <w:t>.</w:t>
      </w:r>
    </w:p>
    <w:p w:rsidR="006C6C27" w:rsidRPr="006730E3" w:rsidRDefault="002D3992"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 xml:space="preserve">Martínez </w:t>
      </w:r>
      <w:proofErr w:type="spellStart"/>
      <w:r w:rsidRPr="006730E3">
        <w:rPr>
          <w:rFonts w:ascii="Calibri" w:hAnsi="Calibri" w:cs="Times New Roman"/>
          <w:smallCaps/>
          <w:sz w:val="24"/>
          <w:szCs w:val="24"/>
        </w:rPr>
        <w:t>Hens</w:t>
      </w:r>
      <w:proofErr w:type="spellEnd"/>
      <w:r w:rsidR="004E537A">
        <w:rPr>
          <w:rFonts w:ascii="Calibri" w:hAnsi="Calibri" w:cs="Times New Roman"/>
          <w:sz w:val="24"/>
          <w:szCs w:val="24"/>
        </w:rPr>
        <w:t>, Helena</w:t>
      </w:r>
      <w:r w:rsidRPr="006730E3">
        <w:rPr>
          <w:rFonts w:ascii="Calibri" w:hAnsi="Calibri" w:cs="Times New Roman"/>
          <w:sz w:val="24"/>
          <w:szCs w:val="24"/>
        </w:rPr>
        <w:t>, «Comentario al artículo 171»,</w:t>
      </w:r>
      <w:r w:rsidR="00463034">
        <w:rPr>
          <w:rFonts w:ascii="Calibri" w:hAnsi="Calibri" w:cs="Times New Roman"/>
          <w:sz w:val="24"/>
          <w:szCs w:val="24"/>
        </w:rPr>
        <w:t xml:space="preserve"> en </w:t>
      </w:r>
      <w:r w:rsidR="00463034" w:rsidRPr="006730E3">
        <w:rPr>
          <w:rFonts w:ascii="Calibri" w:hAnsi="Calibri" w:cs="Times New Roman"/>
          <w:sz w:val="24"/>
          <w:szCs w:val="24"/>
        </w:rPr>
        <w:t xml:space="preserve">Rebolledo Varela, A. L. (coord.), </w:t>
      </w:r>
      <w:r w:rsidRPr="006730E3">
        <w:rPr>
          <w:rFonts w:ascii="Calibri" w:hAnsi="Calibri" w:cs="Times New Roman"/>
          <w:i/>
          <w:sz w:val="24"/>
          <w:szCs w:val="24"/>
        </w:rPr>
        <w:t xml:space="preserve">Cometarios a la Ley de Derecho civil de Galicia. Ley 2/2006, de 14 de junio, </w:t>
      </w:r>
      <w:r w:rsidRPr="006730E3">
        <w:rPr>
          <w:rFonts w:ascii="Calibri" w:hAnsi="Calibri" w:cs="Times New Roman"/>
          <w:sz w:val="24"/>
          <w:szCs w:val="24"/>
        </w:rPr>
        <w:t xml:space="preserve">Thomson Aranzadi, </w:t>
      </w:r>
      <w:proofErr w:type="spellStart"/>
      <w:r w:rsidRPr="006730E3">
        <w:rPr>
          <w:rFonts w:ascii="Calibri" w:hAnsi="Calibri" w:cs="Times New Roman"/>
          <w:sz w:val="24"/>
          <w:szCs w:val="24"/>
        </w:rPr>
        <w:t>Cizur</w:t>
      </w:r>
      <w:proofErr w:type="spellEnd"/>
      <w:r w:rsidRPr="006730E3">
        <w:rPr>
          <w:rFonts w:ascii="Calibri" w:hAnsi="Calibri" w:cs="Times New Roman"/>
          <w:sz w:val="24"/>
          <w:szCs w:val="24"/>
        </w:rPr>
        <w:t xml:space="preserve"> Menor (Navarra), 2008, pp. 721-728.</w:t>
      </w:r>
    </w:p>
    <w:p w:rsidR="006C6C27"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Mesa Marrero, </w:t>
      </w:r>
      <w:r w:rsidRPr="004E537A">
        <w:rPr>
          <w:rFonts w:ascii="Calibri" w:hAnsi="Calibri" w:cs="Times New Roman"/>
          <w:sz w:val="24"/>
          <w:szCs w:val="24"/>
        </w:rPr>
        <w:t>Carolina</w:t>
      </w:r>
      <w:r w:rsidR="002D3992" w:rsidRPr="006730E3">
        <w:rPr>
          <w:rFonts w:ascii="Calibri" w:hAnsi="Calibri" w:cs="Times New Roman"/>
          <w:sz w:val="24"/>
          <w:szCs w:val="24"/>
        </w:rPr>
        <w:t>,</w:t>
      </w:r>
      <w:r w:rsidR="006C6C27" w:rsidRPr="006730E3">
        <w:rPr>
          <w:rFonts w:ascii="Calibri" w:hAnsi="Calibri" w:cs="Times New Roman"/>
          <w:sz w:val="24"/>
          <w:szCs w:val="24"/>
        </w:rPr>
        <w:t xml:space="preserve"> «Una valoración sobre los registros de uniones de hecho y la posible extralimitación competencial del legislador autonómico. A propósito de la Sentencia del Tribunal Supremo de 4 de mayo de 2017, sobre</w:t>
      </w:r>
      <w:r w:rsidR="002D3992" w:rsidRPr="006730E3">
        <w:rPr>
          <w:rFonts w:ascii="Calibri" w:hAnsi="Calibri" w:cs="Times New Roman"/>
          <w:bCs/>
          <w:sz w:val="24"/>
          <w:szCs w:val="24"/>
        </w:rPr>
        <w:t xml:space="preserve"> la acreditación de la pareja de hecho a efectos de la pensión de viudedad</w:t>
      </w:r>
      <w:r w:rsidR="002D3992" w:rsidRPr="006730E3">
        <w:rPr>
          <w:rFonts w:ascii="Calibri" w:hAnsi="Calibri" w:cs="Times New Roman"/>
          <w:sz w:val="24"/>
          <w:szCs w:val="24"/>
        </w:rPr>
        <w:t xml:space="preserve">», </w:t>
      </w:r>
      <w:r w:rsidR="002D3992" w:rsidRPr="006730E3">
        <w:rPr>
          <w:rFonts w:ascii="Calibri" w:hAnsi="Calibri" w:cs="Times New Roman"/>
          <w:i/>
          <w:sz w:val="24"/>
          <w:szCs w:val="24"/>
        </w:rPr>
        <w:t>Revista de Derecho civil</w:t>
      </w:r>
      <w:r w:rsidR="002D3992" w:rsidRPr="006730E3">
        <w:rPr>
          <w:rFonts w:ascii="Calibri" w:hAnsi="Calibri" w:cs="Times New Roman"/>
          <w:sz w:val="24"/>
          <w:szCs w:val="24"/>
        </w:rPr>
        <w:t>, vol. IV, núm. 4, 2017, pp.</w:t>
      </w:r>
      <w:r w:rsidR="00463034">
        <w:rPr>
          <w:rFonts w:ascii="Calibri" w:hAnsi="Calibri" w:cs="Times New Roman"/>
          <w:sz w:val="24"/>
          <w:szCs w:val="24"/>
        </w:rPr>
        <w:t xml:space="preserve"> 265-281.</w:t>
      </w:r>
    </w:p>
    <w:p w:rsidR="006C6C27" w:rsidRPr="006730E3" w:rsidRDefault="00A65B3C"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Miquel González</w:t>
      </w:r>
      <w:r w:rsidR="004E537A">
        <w:rPr>
          <w:rFonts w:ascii="Calibri" w:hAnsi="Calibri" w:cs="Times New Roman"/>
          <w:sz w:val="24"/>
          <w:szCs w:val="24"/>
        </w:rPr>
        <w:t>, José María</w:t>
      </w:r>
      <w:r w:rsidRPr="006730E3">
        <w:rPr>
          <w:rFonts w:ascii="Calibri" w:hAnsi="Calibri" w:cs="Times New Roman"/>
          <w:sz w:val="24"/>
          <w:szCs w:val="24"/>
        </w:rPr>
        <w:t xml:space="preserve">, «Prólogo» a la obra de </w:t>
      </w:r>
      <w:r w:rsidRPr="006730E3">
        <w:rPr>
          <w:rFonts w:ascii="Calibri" w:hAnsi="Calibri" w:cs="Times New Roman"/>
          <w:smallCaps/>
          <w:sz w:val="24"/>
          <w:szCs w:val="24"/>
        </w:rPr>
        <w:t>Espada Mallorquín</w:t>
      </w:r>
      <w:r w:rsidRPr="006730E3">
        <w:rPr>
          <w:rFonts w:ascii="Calibri" w:hAnsi="Calibri" w:cs="Times New Roman"/>
          <w:sz w:val="24"/>
          <w:szCs w:val="24"/>
        </w:rPr>
        <w:t xml:space="preserve">, S., </w:t>
      </w:r>
      <w:r w:rsidRPr="006730E3">
        <w:rPr>
          <w:rFonts w:ascii="Calibri" w:hAnsi="Calibri" w:cs="Times New Roman"/>
          <w:i/>
          <w:sz w:val="24"/>
          <w:szCs w:val="24"/>
        </w:rPr>
        <w:t>Los derechos sucesorios de las parejas de hecho</w:t>
      </w:r>
      <w:r w:rsidRPr="006730E3">
        <w:rPr>
          <w:rFonts w:ascii="Calibri" w:hAnsi="Calibri" w:cs="Times New Roman"/>
          <w:sz w:val="24"/>
          <w:szCs w:val="24"/>
        </w:rPr>
        <w:t xml:space="preserve">, Thomson </w:t>
      </w:r>
      <w:proofErr w:type="spellStart"/>
      <w:r w:rsidRPr="006730E3">
        <w:rPr>
          <w:rFonts w:ascii="Calibri" w:hAnsi="Calibri" w:cs="Times New Roman"/>
          <w:sz w:val="24"/>
          <w:szCs w:val="24"/>
        </w:rPr>
        <w:t>Civitas</w:t>
      </w:r>
      <w:proofErr w:type="spellEnd"/>
      <w:r w:rsidRPr="006730E3">
        <w:rPr>
          <w:rFonts w:ascii="Calibri" w:hAnsi="Calibri" w:cs="Times New Roman"/>
          <w:sz w:val="24"/>
          <w:szCs w:val="24"/>
        </w:rPr>
        <w:t xml:space="preserve">, </w:t>
      </w:r>
      <w:proofErr w:type="spellStart"/>
      <w:r w:rsidRPr="006730E3">
        <w:rPr>
          <w:rFonts w:ascii="Calibri" w:hAnsi="Calibri" w:cs="Times New Roman"/>
          <w:sz w:val="24"/>
          <w:szCs w:val="24"/>
        </w:rPr>
        <w:t>Cizur</w:t>
      </w:r>
      <w:proofErr w:type="spellEnd"/>
      <w:r w:rsidRPr="006730E3">
        <w:rPr>
          <w:rFonts w:ascii="Calibri" w:hAnsi="Calibri" w:cs="Times New Roman"/>
          <w:sz w:val="24"/>
          <w:szCs w:val="24"/>
        </w:rPr>
        <w:t xml:space="preserve"> Menor (Navarra), 2007, pp. 25-39.</w:t>
      </w:r>
    </w:p>
    <w:p w:rsidR="006C6C27"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Nieto Alonso, </w:t>
      </w:r>
      <w:r w:rsidRPr="004E537A">
        <w:rPr>
          <w:rFonts w:ascii="Calibri" w:hAnsi="Calibri" w:cs="Times New Roman"/>
          <w:sz w:val="24"/>
          <w:szCs w:val="24"/>
        </w:rPr>
        <w:t>Antonia</w:t>
      </w:r>
      <w:r w:rsidR="00C53070" w:rsidRPr="006730E3">
        <w:rPr>
          <w:rFonts w:ascii="Calibri" w:hAnsi="Calibri" w:cs="Times New Roman"/>
          <w:smallCaps/>
          <w:sz w:val="24"/>
          <w:szCs w:val="24"/>
        </w:rPr>
        <w:t>,</w:t>
      </w:r>
      <w:r w:rsidR="00C53070" w:rsidRPr="006730E3">
        <w:rPr>
          <w:rFonts w:ascii="Calibri" w:hAnsi="Calibri" w:cs="Times New Roman"/>
          <w:sz w:val="24"/>
          <w:szCs w:val="24"/>
        </w:rPr>
        <w:t xml:space="preserve"> «Parejas de hecho: relaciones económicas durante la convivencia y liquidación tras su extinción —con especial atención al Derecho civil de Galicia—», </w:t>
      </w:r>
      <w:r w:rsidR="00C53070" w:rsidRPr="006730E3">
        <w:rPr>
          <w:rFonts w:ascii="Calibri" w:hAnsi="Calibri" w:cs="Times New Roman"/>
          <w:i/>
          <w:sz w:val="24"/>
          <w:szCs w:val="24"/>
        </w:rPr>
        <w:t>pendiente de publicación</w:t>
      </w:r>
      <w:r w:rsidR="00C53070" w:rsidRPr="006730E3">
        <w:rPr>
          <w:rFonts w:ascii="Calibri" w:hAnsi="Calibri" w:cs="Times New Roman"/>
          <w:sz w:val="24"/>
          <w:szCs w:val="24"/>
        </w:rPr>
        <w:t>.</w:t>
      </w:r>
    </w:p>
    <w:p w:rsidR="006C6C27"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Pérez Martín, </w:t>
      </w:r>
      <w:r w:rsidRPr="004E537A">
        <w:rPr>
          <w:rFonts w:ascii="Calibri" w:hAnsi="Calibri" w:cs="Times New Roman"/>
          <w:sz w:val="24"/>
          <w:szCs w:val="24"/>
        </w:rPr>
        <w:t>Antonio Javier</w:t>
      </w:r>
      <w:r w:rsidR="00C53070" w:rsidRPr="006730E3">
        <w:rPr>
          <w:rFonts w:ascii="Calibri" w:hAnsi="Calibri" w:cs="Times New Roman"/>
          <w:smallCaps/>
          <w:sz w:val="24"/>
          <w:szCs w:val="24"/>
        </w:rPr>
        <w:t>,</w:t>
      </w:r>
      <w:r w:rsidR="00C53070" w:rsidRPr="006730E3">
        <w:rPr>
          <w:rFonts w:ascii="Calibri" w:hAnsi="Calibri" w:cs="Times New Roman"/>
          <w:sz w:val="24"/>
          <w:szCs w:val="24"/>
        </w:rPr>
        <w:t xml:space="preserve"> «Relaciones patrimoniales en las uniones de hecho», </w:t>
      </w:r>
      <w:r w:rsidR="00C53070" w:rsidRPr="006730E3">
        <w:rPr>
          <w:rFonts w:ascii="Calibri" w:hAnsi="Calibri" w:cs="Times New Roman"/>
          <w:i/>
          <w:sz w:val="24"/>
          <w:szCs w:val="24"/>
        </w:rPr>
        <w:t>Revista de Derecho de familia</w:t>
      </w:r>
      <w:r w:rsidR="00C53070" w:rsidRPr="006730E3">
        <w:rPr>
          <w:rFonts w:ascii="Calibri" w:hAnsi="Calibri" w:cs="Times New Roman"/>
          <w:sz w:val="24"/>
          <w:szCs w:val="24"/>
        </w:rPr>
        <w:t>, núm. 35, abril-junio, 2007, pp. 25-49.</w:t>
      </w:r>
    </w:p>
    <w:p w:rsidR="00FC5435" w:rsidRPr="006730E3" w:rsidRDefault="004E537A" w:rsidP="00416B3A">
      <w:pPr>
        <w:spacing w:line="312" w:lineRule="auto"/>
        <w:jc w:val="both"/>
        <w:rPr>
          <w:rFonts w:ascii="Calibri" w:hAnsi="Calibri" w:cs="Times New Roman"/>
          <w:sz w:val="24"/>
          <w:szCs w:val="24"/>
        </w:rPr>
      </w:pPr>
      <w:r>
        <w:rPr>
          <w:rFonts w:ascii="Calibri" w:hAnsi="Calibri" w:cs="Times New Roman"/>
          <w:smallCaps/>
          <w:sz w:val="24"/>
          <w:szCs w:val="24"/>
        </w:rPr>
        <w:t xml:space="preserve">Ruiz-Rico Ruiz, </w:t>
      </w:r>
      <w:r w:rsidRPr="004E537A">
        <w:rPr>
          <w:rFonts w:ascii="Calibri" w:hAnsi="Calibri" w:cs="Times New Roman"/>
          <w:sz w:val="24"/>
          <w:szCs w:val="24"/>
        </w:rPr>
        <w:t>José Manuel</w:t>
      </w:r>
      <w:r w:rsidR="00F94492" w:rsidRPr="006730E3">
        <w:rPr>
          <w:rFonts w:ascii="Calibri" w:hAnsi="Calibri" w:cs="Times New Roman"/>
          <w:smallCaps/>
          <w:sz w:val="24"/>
          <w:szCs w:val="24"/>
        </w:rPr>
        <w:t>,</w:t>
      </w:r>
      <w:r w:rsidR="0044351F" w:rsidRPr="006730E3">
        <w:rPr>
          <w:rFonts w:ascii="Calibri" w:hAnsi="Calibri" w:cs="Times New Roman"/>
          <w:smallCaps/>
          <w:sz w:val="24"/>
          <w:szCs w:val="24"/>
        </w:rPr>
        <w:t xml:space="preserve"> Casado </w:t>
      </w:r>
      <w:proofErr w:type="spellStart"/>
      <w:r w:rsidR="0044351F" w:rsidRPr="006730E3">
        <w:rPr>
          <w:rFonts w:ascii="Calibri" w:hAnsi="Calibri" w:cs="Times New Roman"/>
          <w:smallCaps/>
          <w:sz w:val="24"/>
          <w:szCs w:val="24"/>
        </w:rPr>
        <w:t>Casado</w:t>
      </w:r>
      <w:proofErr w:type="spellEnd"/>
      <w:r w:rsidR="0044351F" w:rsidRPr="006730E3">
        <w:rPr>
          <w:rFonts w:ascii="Calibri" w:hAnsi="Calibri" w:cs="Times New Roman"/>
          <w:smallCaps/>
          <w:sz w:val="24"/>
          <w:szCs w:val="24"/>
        </w:rPr>
        <w:t>, B</w:t>
      </w:r>
      <w:r>
        <w:rPr>
          <w:rFonts w:ascii="Calibri" w:hAnsi="Calibri" w:cs="Times New Roman"/>
          <w:sz w:val="24"/>
          <w:szCs w:val="24"/>
        </w:rPr>
        <w:t>elén</w:t>
      </w:r>
      <w:r w:rsidR="0044351F" w:rsidRPr="006730E3">
        <w:rPr>
          <w:rFonts w:ascii="Calibri" w:hAnsi="Calibri" w:cs="Times New Roman"/>
          <w:sz w:val="24"/>
          <w:szCs w:val="24"/>
        </w:rPr>
        <w:t xml:space="preserve">, «Las uniones de hecho no matrimoniales: consideraciones generales y aspectos registrales», </w:t>
      </w:r>
      <w:r w:rsidR="0044351F" w:rsidRPr="006730E3">
        <w:rPr>
          <w:rFonts w:ascii="Calibri" w:hAnsi="Calibri" w:cs="Times New Roman"/>
          <w:i/>
          <w:sz w:val="24"/>
          <w:szCs w:val="24"/>
        </w:rPr>
        <w:t>RCDI</w:t>
      </w:r>
      <w:r w:rsidR="0044351F" w:rsidRPr="006730E3">
        <w:rPr>
          <w:rFonts w:ascii="Calibri" w:hAnsi="Calibri" w:cs="Times New Roman"/>
          <w:sz w:val="24"/>
          <w:szCs w:val="24"/>
        </w:rPr>
        <w:t>, LXXX, núm. 685, 2004, pp. 2307-2376.</w:t>
      </w:r>
    </w:p>
    <w:p w:rsidR="00FC5435" w:rsidRPr="006730E3" w:rsidRDefault="00A65B3C"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Rivero Hernández</w:t>
      </w:r>
      <w:r w:rsidR="004E537A">
        <w:rPr>
          <w:rFonts w:ascii="Calibri" w:hAnsi="Calibri" w:cs="Times New Roman"/>
          <w:smallCaps/>
          <w:sz w:val="24"/>
          <w:szCs w:val="24"/>
        </w:rPr>
        <w:t xml:space="preserve">, </w:t>
      </w:r>
      <w:r w:rsidR="004E537A" w:rsidRPr="004E537A">
        <w:rPr>
          <w:rFonts w:ascii="Calibri" w:hAnsi="Calibri" w:cs="Times New Roman"/>
          <w:sz w:val="24"/>
          <w:szCs w:val="24"/>
        </w:rPr>
        <w:t>Francisco</w:t>
      </w:r>
      <w:r w:rsidR="00FC5435" w:rsidRPr="006730E3">
        <w:rPr>
          <w:rFonts w:ascii="Calibri" w:hAnsi="Calibri" w:cs="Times New Roman"/>
          <w:sz w:val="24"/>
          <w:szCs w:val="24"/>
        </w:rPr>
        <w:t xml:space="preserve">, «Consecuencias patrimoniales de la disolución de parejas maritales de hecho», </w:t>
      </w:r>
      <w:r w:rsidR="00FC5435" w:rsidRPr="006730E3">
        <w:rPr>
          <w:rStyle w:val="CURSIVAS"/>
          <w:rFonts w:ascii="Calibri" w:hAnsi="Calibri" w:cs="Times New Roman"/>
          <w:sz w:val="24"/>
          <w:szCs w:val="24"/>
        </w:rPr>
        <w:t>Revista Jurídica de Castilla-La Mancha</w:t>
      </w:r>
      <w:r w:rsidR="00FC5435" w:rsidRPr="006730E3">
        <w:rPr>
          <w:rFonts w:ascii="Calibri" w:hAnsi="Calibri" w:cs="Times New Roman"/>
          <w:sz w:val="24"/>
          <w:szCs w:val="24"/>
        </w:rPr>
        <w:t>, núm. 25, abril, 1999, pp. 207-230.</w:t>
      </w:r>
    </w:p>
    <w:p w:rsidR="006C6C27" w:rsidRPr="006730E3" w:rsidRDefault="00F726BE" w:rsidP="00416B3A">
      <w:pPr>
        <w:spacing w:line="312" w:lineRule="auto"/>
        <w:jc w:val="both"/>
        <w:rPr>
          <w:rFonts w:ascii="Calibri" w:hAnsi="Calibri" w:cs="Times New Roman"/>
          <w:sz w:val="24"/>
          <w:szCs w:val="24"/>
        </w:rPr>
      </w:pPr>
      <w:r w:rsidRPr="006730E3">
        <w:rPr>
          <w:rFonts w:ascii="Calibri" w:hAnsi="Calibri" w:cs="Times New Roman"/>
          <w:smallCaps/>
          <w:sz w:val="24"/>
          <w:szCs w:val="24"/>
        </w:rPr>
        <w:t>Roca i Trías</w:t>
      </w:r>
      <w:r w:rsidR="004E537A">
        <w:rPr>
          <w:rFonts w:ascii="Calibri" w:hAnsi="Calibri" w:cs="Times New Roman"/>
          <w:sz w:val="24"/>
          <w:szCs w:val="24"/>
        </w:rPr>
        <w:t>, Encarnación</w:t>
      </w:r>
      <w:r w:rsidRPr="006730E3">
        <w:rPr>
          <w:rFonts w:ascii="Calibri" w:hAnsi="Calibri" w:cs="Times New Roman"/>
          <w:sz w:val="24"/>
          <w:szCs w:val="24"/>
        </w:rPr>
        <w:t>, «El régimen económico de las parejas de hecho»,</w:t>
      </w:r>
      <w:r w:rsidR="00463034">
        <w:rPr>
          <w:rFonts w:ascii="Calibri" w:hAnsi="Calibri" w:cs="Times New Roman"/>
          <w:sz w:val="24"/>
          <w:szCs w:val="24"/>
        </w:rPr>
        <w:t xml:space="preserve"> en</w:t>
      </w:r>
      <w:r w:rsidR="00463034" w:rsidRPr="00463034">
        <w:rPr>
          <w:rFonts w:ascii="Calibri" w:hAnsi="Calibri" w:cs="Times New Roman"/>
          <w:sz w:val="24"/>
          <w:szCs w:val="24"/>
        </w:rPr>
        <w:t xml:space="preserve"> </w:t>
      </w:r>
      <w:r w:rsidR="00463034" w:rsidRPr="006730E3">
        <w:rPr>
          <w:rFonts w:ascii="Calibri" w:hAnsi="Calibri" w:cs="Times New Roman"/>
          <w:sz w:val="24"/>
          <w:szCs w:val="24"/>
        </w:rPr>
        <w:t>Sánchez González, M. P</w:t>
      </w:r>
      <w:r w:rsidR="00463034" w:rsidRPr="006730E3">
        <w:rPr>
          <w:rFonts w:ascii="Calibri" w:hAnsi="Calibri" w:cs="Times New Roman"/>
          <w:smallCaps/>
          <w:sz w:val="24"/>
          <w:szCs w:val="24"/>
        </w:rPr>
        <w:t>.</w:t>
      </w:r>
      <w:r w:rsidR="00463034">
        <w:rPr>
          <w:rFonts w:ascii="Calibri" w:hAnsi="Calibri" w:cs="Times New Roman"/>
          <w:sz w:val="24"/>
          <w:szCs w:val="24"/>
        </w:rPr>
        <w:t xml:space="preserve"> (coord.),</w:t>
      </w:r>
      <w:r w:rsidRPr="006730E3">
        <w:rPr>
          <w:rFonts w:ascii="Calibri" w:hAnsi="Calibri" w:cs="Times New Roman"/>
          <w:sz w:val="24"/>
          <w:szCs w:val="24"/>
        </w:rPr>
        <w:t xml:space="preserve"> </w:t>
      </w:r>
      <w:r w:rsidRPr="006730E3">
        <w:rPr>
          <w:rFonts w:ascii="Calibri" w:hAnsi="Calibri" w:cs="Times New Roman"/>
          <w:i/>
          <w:sz w:val="24"/>
          <w:szCs w:val="24"/>
        </w:rPr>
        <w:t>Las uniones de hecho. II Seminario de Estudios Jurídicos y Criminológicos</w:t>
      </w:r>
      <w:r w:rsidR="00D17FE7" w:rsidRPr="006730E3">
        <w:rPr>
          <w:rFonts w:ascii="Calibri" w:hAnsi="Calibri" w:cs="Times New Roman"/>
          <w:sz w:val="24"/>
          <w:szCs w:val="24"/>
        </w:rPr>
        <w:t>,</w:t>
      </w:r>
      <w:r w:rsidRPr="006730E3">
        <w:rPr>
          <w:rFonts w:ascii="Calibri" w:hAnsi="Calibri" w:cs="Times New Roman"/>
          <w:sz w:val="24"/>
          <w:szCs w:val="24"/>
        </w:rPr>
        <w:t xml:space="preserve"> Servicio de Publicaciones Universidad de Cádiz, Cádiz, 1995, págs. 29-46.</w:t>
      </w:r>
    </w:p>
    <w:p w:rsidR="006730E3" w:rsidRPr="006730E3" w:rsidRDefault="00C53070" w:rsidP="00416B3A">
      <w:pPr>
        <w:spacing w:line="312" w:lineRule="auto"/>
        <w:jc w:val="both"/>
        <w:rPr>
          <w:rFonts w:ascii="Calibri" w:hAnsi="Calibri" w:cs="Times New Roman"/>
          <w:sz w:val="24"/>
          <w:szCs w:val="24"/>
        </w:rPr>
      </w:pPr>
      <w:proofErr w:type="spellStart"/>
      <w:r w:rsidRPr="006730E3">
        <w:rPr>
          <w:rFonts w:ascii="Calibri" w:hAnsi="Calibri" w:cs="Times New Roman"/>
          <w:smallCaps/>
          <w:sz w:val="24"/>
          <w:szCs w:val="24"/>
        </w:rPr>
        <w:lastRenderedPageBreak/>
        <w:t>Valpuesta</w:t>
      </w:r>
      <w:proofErr w:type="spellEnd"/>
      <w:r w:rsidRPr="006730E3">
        <w:rPr>
          <w:rFonts w:ascii="Calibri" w:hAnsi="Calibri" w:cs="Times New Roman"/>
          <w:smallCaps/>
          <w:sz w:val="24"/>
          <w:szCs w:val="24"/>
        </w:rPr>
        <w:t xml:space="preserve"> Fernández</w:t>
      </w:r>
      <w:r w:rsidR="004E537A">
        <w:rPr>
          <w:rFonts w:ascii="Calibri" w:hAnsi="Calibri" w:cs="Times New Roman"/>
          <w:sz w:val="24"/>
          <w:szCs w:val="24"/>
        </w:rPr>
        <w:t>, María Rosario</w:t>
      </w:r>
      <w:r w:rsidRPr="006730E3">
        <w:rPr>
          <w:rFonts w:ascii="Calibri" w:hAnsi="Calibri" w:cs="Times New Roman"/>
          <w:sz w:val="24"/>
          <w:szCs w:val="24"/>
        </w:rPr>
        <w:t>, «La institucionalización jurídica de la pareja. Registro de parejas de hecho»,</w:t>
      </w:r>
      <w:r w:rsidR="00463034">
        <w:rPr>
          <w:rFonts w:ascii="Calibri" w:hAnsi="Calibri" w:cs="Times New Roman"/>
          <w:sz w:val="24"/>
          <w:szCs w:val="24"/>
        </w:rPr>
        <w:t xml:space="preserve"> en</w:t>
      </w:r>
      <w:r w:rsidR="00463034" w:rsidRPr="00463034">
        <w:rPr>
          <w:rFonts w:ascii="Calibri" w:hAnsi="Calibri" w:cs="Times New Roman"/>
          <w:sz w:val="24"/>
          <w:szCs w:val="24"/>
        </w:rPr>
        <w:t xml:space="preserve"> </w:t>
      </w:r>
      <w:r w:rsidR="00463034" w:rsidRPr="006730E3">
        <w:rPr>
          <w:rFonts w:ascii="Calibri" w:hAnsi="Calibri" w:cs="Times New Roman"/>
          <w:sz w:val="24"/>
          <w:szCs w:val="24"/>
        </w:rPr>
        <w:t>Sánchez González, M. P</w:t>
      </w:r>
      <w:r w:rsidR="00463034" w:rsidRPr="006730E3">
        <w:rPr>
          <w:rFonts w:ascii="Calibri" w:hAnsi="Calibri" w:cs="Times New Roman"/>
          <w:smallCaps/>
          <w:sz w:val="24"/>
          <w:szCs w:val="24"/>
        </w:rPr>
        <w:t>.</w:t>
      </w:r>
      <w:r w:rsidR="000E1539">
        <w:rPr>
          <w:rFonts w:ascii="Calibri" w:hAnsi="Calibri" w:cs="Times New Roman"/>
          <w:sz w:val="24"/>
          <w:szCs w:val="24"/>
        </w:rPr>
        <w:t xml:space="preserve"> (coord.),</w:t>
      </w:r>
      <w:r w:rsidRPr="006730E3">
        <w:rPr>
          <w:rFonts w:ascii="Calibri" w:hAnsi="Calibri" w:cs="Times New Roman"/>
          <w:sz w:val="24"/>
          <w:szCs w:val="24"/>
        </w:rPr>
        <w:t xml:space="preserve"> </w:t>
      </w:r>
      <w:r w:rsidRPr="006730E3">
        <w:rPr>
          <w:rFonts w:ascii="Calibri" w:hAnsi="Calibri" w:cs="Times New Roman"/>
          <w:i/>
          <w:sz w:val="24"/>
          <w:szCs w:val="24"/>
        </w:rPr>
        <w:t>Las uniones de hecho</w:t>
      </w:r>
      <w:r w:rsidRPr="006730E3">
        <w:rPr>
          <w:rFonts w:ascii="Calibri" w:hAnsi="Calibri" w:cs="Times New Roman"/>
          <w:sz w:val="24"/>
          <w:szCs w:val="24"/>
        </w:rPr>
        <w:t xml:space="preserve">. </w:t>
      </w:r>
      <w:r w:rsidRPr="006730E3">
        <w:rPr>
          <w:rFonts w:ascii="Calibri" w:hAnsi="Calibri" w:cs="Times New Roman"/>
          <w:i/>
          <w:sz w:val="24"/>
          <w:szCs w:val="24"/>
        </w:rPr>
        <w:t>II Seminario de Estudios Jurídicos y Criminológicos</w:t>
      </w:r>
      <w:r w:rsidRPr="006730E3">
        <w:rPr>
          <w:rFonts w:ascii="Calibri" w:hAnsi="Calibri" w:cs="Times New Roman"/>
          <w:sz w:val="24"/>
          <w:szCs w:val="24"/>
        </w:rPr>
        <w:t>, Servicio de Publicaciones Universidad de Cádiz, Cádiz, 1995, pp. 47-66.</w:t>
      </w:r>
    </w:p>
    <w:sectPr w:rsidR="006730E3" w:rsidRPr="006730E3" w:rsidSect="00B62BFD">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C98" w:rsidRDefault="00E30C98" w:rsidP="00183F44">
      <w:pPr>
        <w:spacing w:after="0" w:line="240" w:lineRule="auto"/>
      </w:pPr>
      <w:r>
        <w:separator/>
      </w:r>
    </w:p>
  </w:endnote>
  <w:endnote w:type="continuationSeparator" w:id="0">
    <w:p w:rsidR="00E30C98" w:rsidRDefault="00E30C98" w:rsidP="0018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Neue-Roman">
    <w:altName w:val="HelveticaNeue-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415575"/>
      <w:docPartObj>
        <w:docPartGallery w:val="Page Numbers (Bottom of Page)"/>
        <w:docPartUnique/>
      </w:docPartObj>
    </w:sdtPr>
    <w:sdtEndPr>
      <w:rPr>
        <w:rFonts w:ascii="Times New Roman" w:hAnsi="Times New Roman" w:cs="Times New Roman"/>
      </w:rPr>
    </w:sdtEndPr>
    <w:sdtContent>
      <w:p w:rsidR="00B13CC8" w:rsidRPr="00183F44" w:rsidRDefault="00B13CC8">
        <w:pPr>
          <w:pStyle w:val="Piedepgina"/>
          <w:jc w:val="center"/>
          <w:rPr>
            <w:rFonts w:ascii="Times New Roman" w:hAnsi="Times New Roman" w:cs="Times New Roman"/>
          </w:rPr>
        </w:pPr>
        <w:r w:rsidRPr="00183F44">
          <w:rPr>
            <w:rFonts w:ascii="Times New Roman" w:hAnsi="Times New Roman" w:cs="Times New Roman"/>
          </w:rPr>
          <w:fldChar w:fldCharType="begin"/>
        </w:r>
        <w:r w:rsidRPr="00183F44">
          <w:rPr>
            <w:rFonts w:ascii="Times New Roman" w:hAnsi="Times New Roman" w:cs="Times New Roman"/>
          </w:rPr>
          <w:instrText>PAGE   \* MERGEFORMAT</w:instrText>
        </w:r>
        <w:r w:rsidRPr="00183F44">
          <w:rPr>
            <w:rFonts w:ascii="Times New Roman" w:hAnsi="Times New Roman" w:cs="Times New Roman"/>
          </w:rPr>
          <w:fldChar w:fldCharType="separate"/>
        </w:r>
        <w:r w:rsidR="00C74D6A">
          <w:rPr>
            <w:rFonts w:ascii="Times New Roman" w:hAnsi="Times New Roman" w:cs="Times New Roman"/>
            <w:noProof/>
          </w:rPr>
          <w:t>1</w:t>
        </w:r>
        <w:r w:rsidRPr="00183F44">
          <w:rPr>
            <w:rFonts w:ascii="Times New Roman" w:hAnsi="Times New Roman" w:cs="Times New Roman"/>
          </w:rPr>
          <w:fldChar w:fldCharType="end"/>
        </w:r>
      </w:p>
    </w:sdtContent>
  </w:sdt>
  <w:p w:rsidR="00B13CC8" w:rsidRDefault="00B13C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C98" w:rsidRDefault="00E30C98" w:rsidP="00183F44">
      <w:pPr>
        <w:spacing w:after="0" w:line="240" w:lineRule="auto"/>
      </w:pPr>
      <w:r>
        <w:separator/>
      </w:r>
    </w:p>
  </w:footnote>
  <w:footnote w:type="continuationSeparator" w:id="0">
    <w:p w:rsidR="00E30C98" w:rsidRDefault="00E30C98" w:rsidP="00183F44">
      <w:pPr>
        <w:spacing w:after="0" w:line="240" w:lineRule="auto"/>
      </w:pPr>
      <w:r>
        <w:continuationSeparator/>
      </w:r>
    </w:p>
  </w:footnote>
  <w:footnote w:id="1">
    <w:p w:rsidR="00B13CC8" w:rsidRPr="006730E3" w:rsidRDefault="00B13CC8" w:rsidP="006730E3">
      <w:pPr>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t>*</w:t>
      </w:r>
      <w:r w:rsidRPr="006730E3">
        <w:rPr>
          <w:rFonts w:ascii="Calibri" w:hAnsi="Calibri" w:cs="Times New Roman"/>
          <w:sz w:val="20"/>
          <w:szCs w:val="20"/>
        </w:rPr>
        <w:t xml:space="preserve"> El presente trabajo se enmarca en la ejecución del proyecto de investigación «Balance de 38 años de </w:t>
      </w:r>
      <w:proofErr w:type="spellStart"/>
      <w:r w:rsidRPr="006730E3">
        <w:rPr>
          <w:rFonts w:ascii="Calibri" w:hAnsi="Calibri" w:cs="Times New Roman"/>
          <w:sz w:val="20"/>
          <w:szCs w:val="20"/>
        </w:rPr>
        <w:t>plurilegislación</w:t>
      </w:r>
      <w:proofErr w:type="spellEnd"/>
      <w:r w:rsidRPr="006730E3">
        <w:rPr>
          <w:rFonts w:ascii="Calibri" w:hAnsi="Calibri" w:cs="Times New Roman"/>
          <w:sz w:val="20"/>
          <w:szCs w:val="20"/>
        </w:rPr>
        <w:t xml:space="preserve"> civil postconstitucional: situación actual y propuestas de futuro», financiado por el Ministerio de Economía y Competitividad</w:t>
      </w:r>
      <w:r w:rsidR="00FA525F">
        <w:rPr>
          <w:rFonts w:ascii="Calibri" w:hAnsi="Calibri" w:cs="Times New Roman"/>
          <w:sz w:val="20"/>
          <w:szCs w:val="20"/>
        </w:rPr>
        <w:t xml:space="preserve"> </w:t>
      </w:r>
      <w:r w:rsidR="00FA525F" w:rsidRPr="00C74D6A">
        <w:rPr>
          <w:rFonts w:ascii="Calibri" w:hAnsi="Calibri" w:cs="Times New Roman"/>
          <w:sz w:val="20"/>
          <w:szCs w:val="20"/>
        </w:rPr>
        <w:t>y el FEDER</w:t>
      </w:r>
      <w:r w:rsidRPr="00C74D6A">
        <w:rPr>
          <w:rFonts w:ascii="Calibri" w:hAnsi="Calibri" w:cs="Times New Roman"/>
          <w:sz w:val="20"/>
          <w:szCs w:val="20"/>
        </w:rPr>
        <w:t xml:space="preserve"> </w:t>
      </w:r>
      <w:r w:rsidRPr="006730E3">
        <w:rPr>
          <w:rFonts w:ascii="Calibri" w:hAnsi="Calibri" w:cs="Times New Roman"/>
          <w:sz w:val="20"/>
          <w:szCs w:val="20"/>
        </w:rPr>
        <w:t>[Ref. DER2016-77190-R].</w:t>
      </w:r>
    </w:p>
  </w:footnote>
  <w:footnote w:id="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Ley 10/2007, de 28 de junio, de reforma de la disposición adicional tercera de la Ley 2/2006, de 14 de junio, de Derecho civil de Galicia.</w:t>
      </w:r>
    </w:p>
  </w:footnote>
  <w:footnote w:id="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Téngase en cuenta que, a partir del 29 de enero de 2019, será aplicable el Reglamento (UE) 2016/1104 del Consejo de 24 de junio de 2016 por el que se establece una cooperación reforzada en el ámbito de la competencia, la ley aplicable, el reconocimiento y la ejecución de resoluciones en materia de efectos patrimoniales de las uniones registradas conforme a su art. 70.2.II; Reglamento que afectará a la pareja inscrita de la DAT en cuanto España forma parte del marco de cooperación reforzada en el que aquél se aplica.</w:t>
      </w:r>
    </w:p>
  </w:footnote>
  <w:footnote w:id="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Pr>
          <w:rFonts w:ascii="Calibri" w:hAnsi="Calibri" w:cs="Times New Roman"/>
        </w:rPr>
        <w:t>, 2007:</w:t>
      </w:r>
      <w:r w:rsidRPr="006730E3">
        <w:rPr>
          <w:rFonts w:ascii="Calibri" w:hAnsi="Calibri" w:cs="Times New Roman"/>
        </w:rPr>
        <w:t xml:space="preserve"> 188 y 200.</w:t>
      </w:r>
    </w:p>
  </w:footnote>
  <w:footnote w:id="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Calvo Vidal, Cantero Núñez, Sanmartín Losada</w:t>
      </w:r>
      <w:r w:rsidRPr="006730E3">
        <w:rPr>
          <w:rFonts w:ascii="Calibri" w:hAnsi="Calibri" w:cs="Times New Roman"/>
        </w:rPr>
        <w:t>,</w:t>
      </w:r>
      <w:r>
        <w:rPr>
          <w:rFonts w:ascii="Calibri" w:hAnsi="Calibri" w:cs="Times New Roman"/>
        </w:rPr>
        <w:t xml:space="preserve"> 2007:</w:t>
      </w:r>
      <w:r w:rsidRPr="006730E3">
        <w:rPr>
          <w:rFonts w:ascii="Calibri" w:hAnsi="Calibri" w:cs="Times New Roman"/>
        </w:rPr>
        <w:t xml:space="preserve"> 1336.</w:t>
      </w:r>
    </w:p>
  </w:footnote>
  <w:footnote w:id="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Pr>
          <w:rFonts w:ascii="Calibri" w:hAnsi="Calibri" w:cs="Times New Roman"/>
        </w:rPr>
        <w:t>, 2005: 351-</w:t>
      </w:r>
      <w:r w:rsidRPr="006730E3">
        <w:rPr>
          <w:rFonts w:ascii="Calibri" w:hAnsi="Calibri" w:cs="Times New Roman"/>
        </w:rPr>
        <w:t>352.</w:t>
      </w:r>
    </w:p>
  </w:footnote>
  <w:footnote w:id="7">
    <w:p w:rsidR="00B13CC8" w:rsidRPr="006730E3" w:rsidRDefault="00B13CC8" w:rsidP="006730E3">
      <w:pPr>
        <w:pStyle w:val="parrafo2"/>
        <w:spacing w:before="0" w:beforeAutospacing="0" w:after="0" w:afterAutospacing="0"/>
        <w:jc w:val="both"/>
        <w:rPr>
          <w:rFonts w:ascii="Calibri" w:hAnsi="Calibri"/>
          <w:sz w:val="20"/>
          <w:szCs w:val="20"/>
        </w:rPr>
      </w:pPr>
      <w:r w:rsidRPr="006730E3">
        <w:rPr>
          <w:rStyle w:val="Refdenotaalpie"/>
          <w:rFonts w:ascii="Calibri" w:hAnsi="Calibri"/>
          <w:sz w:val="20"/>
          <w:szCs w:val="20"/>
        </w:rPr>
        <w:footnoteRef/>
      </w:r>
      <w:r w:rsidRPr="006730E3">
        <w:rPr>
          <w:rFonts w:ascii="Calibri" w:hAnsi="Calibri"/>
          <w:sz w:val="20"/>
          <w:szCs w:val="20"/>
        </w:rPr>
        <w:t xml:space="preserve"> Según el tenor literal de la DAT tras la modificación de 2007: «1. A los efectos de la aplicación de la presente ley, se equiparan al matrimonio las relaciones maritales mantenidas con intención o vocación de permanencia, con lo que se extienden a los miembros de la pareja los derechos y las obligaciones que la presente ley reconoce a los cónyuges. 2. Tendrán la condición de parejas de hecho las uniones de dos personas mayores de edad, capaces, que convivan con la intención o vocación de permanencia en una relación de afectividad análoga a la conyugal y que la inscriban en el Registro de Parejas de Hecho de Galicia, expresando su voluntad de equiparar sus efectos a los del matrimonio. No pueden constituir parejas de hecho: a) Los familiares en línea recta por consanguinidad o adopción. b) Los colaterales por consanguinidad o adopción hasta el tercer grado. c) Los que estén ligados por matrimonio o formen pareja de hecho debidamente formalizada con otra persona. 3. Los miembros de la unión de hecho podrán establecer válidamente en escritura pública los pactos que estimen convenientes para regir sus relaciones económicas durante la convivencia y para liquidarlas tras su extinción, siempre que no sean contrarios a las leyes, limitativos de la igualdad de derechos que corresponden a cada conviviente o gravemente perjudiciales para cada uno de los mismos. Serán nulos los pactos que contravengan la anterior prohibición».</w:t>
      </w:r>
    </w:p>
  </w:footnote>
  <w:footnote w:id="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Busto Lago</w:t>
      </w:r>
      <w:r>
        <w:rPr>
          <w:rFonts w:ascii="Calibri" w:hAnsi="Calibri" w:cs="Times New Roman"/>
        </w:rPr>
        <w:t>, 2008:</w:t>
      </w:r>
      <w:r w:rsidRPr="006730E3">
        <w:rPr>
          <w:rFonts w:ascii="Calibri" w:hAnsi="Calibri" w:cs="Times New Roman"/>
        </w:rPr>
        <w:t xml:space="preserve"> 1376.</w:t>
      </w:r>
    </w:p>
  </w:footnote>
  <w:footnote w:id="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No la plantea </w:t>
      </w:r>
      <w:r w:rsidRPr="006730E3">
        <w:rPr>
          <w:rFonts w:ascii="Calibri" w:hAnsi="Calibri" w:cs="Times New Roman"/>
          <w:smallCaps/>
        </w:rPr>
        <w:t>Álvarez Lata</w:t>
      </w:r>
      <w:r>
        <w:rPr>
          <w:rFonts w:ascii="Calibri" w:hAnsi="Calibri" w:cs="Times New Roman"/>
        </w:rPr>
        <w:t>, 2015:</w:t>
      </w:r>
      <w:r w:rsidRPr="006730E3">
        <w:rPr>
          <w:rFonts w:ascii="Calibri" w:hAnsi="Calibri" w:cs="Times New Roman"/>
        </w:rPr>
        <w:t xml:space="preserve"> 161 y 168.</w:t>
      </w:r>
    </w:p>
  </w:footnote>
  <w:footnote w:id="10">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Ello se infiere de la Disposición final de la Ley de 2007 de reforma de la DAT así como de la propia regulación reglamentaria del RPHG; particularmente del art. 27 del Decreto 248/2007, de 20 de diciembre, por el que se crea y regula el Registro de Parejas de Hecho de Galicia. También lo pone de manifiesto la SAP de Ourense de 10 de noviembre de 2017, FJ 3 (AC\2017\1595).</w:t>
      </w:r>
    </w:p>
  </w:footnote>
  <w:footnote w:id="1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Entre los operadores jurídicos, comparte esta opinión </w:t>
      </w:r>
      <w:r w:rsidRPr="006730E3">
        <w:rPr>
          <w:rFonts w:ascii="Calibri" w:hAnsi="Calibri" w:cs="Times New Roman"/>
          <w:smallCaps/>
        </w:rPr>
        <w:t>Mariño Pardo</w:t>
      </w:r>
      <w:r w:rsidRPr="006730E3">
        <w:rPr>
          <w:rFonts w:ascii="Calibri" w:hAnsi="Calibri" w:cs="Times New Roman"/>
        </w:rPr>
        <w:t>, 2014.</w:t>
      </w:r>
    </w:p>
  </w:footnote>
  <w:footnote w:id="1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Pr>
          <w:rFonts w:ascii="Calibri" w:hAnsi="Calibri" w:cs="Times New Roman"/>
        </w:rPr>
        <w:t>, 2007:</w:t>
      </w:r>
      <w:r w:rsidRPr="006730E3">
        <w:rPr>
          <w:rFonts w:ascii="Calibri" w:hAnsi="Calibri" w:cs="Times New Roman"/>
        </w:rPr>
        <w:t xml:space="preserve"> 199. Fíjese el lector cómo reproduce la citada autora el apartado segundo de la DAT: «tendrán la condición de parejas de hecho las uniones de dos o más [</w:t>
      </w:r>
      <w:proofErr w:type="gramStart"/>
      <w:r w:rsidRPr="006730E3">
        <w:rPr>
          <w:rFonts w:ascii="Calibri" w:hAnsi="Calibri" w:cs="Times New Roman"/>
        </w:rPr>
        <w:t>!</w:t>
      </w:r>
      <w:proofErr w:type="gramEnd"/>
      <w:r w:rsidRPr="006730E3">
        <w:rPr>
          <w:rFonts w:ascii="Calibri" w:hAnsi="Calibri" w:cs="Times New Roman"/>
        </w:rPr>
        <w:t>] personas…». Ya se trate de un error en la transcripción o del presagio de alguna futura regulación, lo cierto es que la autora ha manifestado en diversas sedes que no es descartable que en el futuro se lleguen a reconocer vínculos de convivencia o de filiación que no sean estrictamente binarios.</w:t>
      </w:r>
    </w:p>
  </w:footnote>
  <w:footnote w:id="1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xml:space="preserve">, </w:t>
      </w:r>
      <w:r>
        <w:rPr>
          <w:rFonts w:ascii="Calibri" w:hAnsi="Calibri" w:cs="Times New Roman"/>
        </w:rPr>
        <w:t>2018-1:</w:t>
      </w:r>
      <w:r w:rsidRPr="006730E3">
        <w:rPr>
          <w:rFonts w:ascii="Calibri" w:hAnsi="Calibri" w:cs="Times New Roman"/>
        </w:rPr>
        <w:t xml:space="preserve"> 24.</w:t>
      </w:r>
    </w:p>
  </w:footnote>
  <w:footnote w:id="1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Pr>
          <w:rFonts w:ascii="Calibri" w:hAnsi="Calibri" w:cs="Times New Roman"/>
        </w:rPr>
        <w:t>, 2004: 1942-</w:t>
      </w:r>
      <w:r w:rsidRPr="006730E3">
        <w:rPr>
          <w:rFonts w:ascii="Calibri" w:hAnsi="Calibri" w:cs="Times New Roman"/>
        </w:rPr>
        <w:t>1943.</w:t>
      </w:r>
    </w:p>
  </w:footnote>
  <w:footnote w:id="1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cambio, sí hablan de supletoriedad </w:t>
      </w:r>
      <w:r w:rsidRPr="006730E3">
        <w:rPr>
          <w:rFonts w:ascii="Calibri" w:hAnsi="Calibri" w:cs="Times New Roman"/>
          <w:smallCaps/>
        </w:rPr>
        <w:t>Hernández Ibáñez</w:t>
      </w:r>
      <w:r>
        <w:rPr>
          <w:rFonts w:ascii="Calibri" w:hAnsi="Calibri" w:cs="Times New Roman"/>
        </w:rPr>
        <w:t>, 2008:</w:t>
      </w:r>
      <w:r w:rsidRPr="006730E3">
        <w:rPr>
          <w:rFonts w:ascii="Calibri" w:hAnsi="Calibri" w:cs="Times New Roman"/>
        </w:rPr>
        <w:t xml:space="preserve"> 153; </w:t>
      </w:r>
      <w:r w:rsidRPr="006730E3">
        <w:rPr>
          <w:rFonts w:ascii="Calibri" w:hAnsi="Calibri" w:cs="Times New Roman"/>
          <w:smallCaps/>
        </w:rPr>
        <w:t>Díaz Martínez</w:t>
      </w:r>
      <w:r>
        <w:rPr>
          <w:rFonts w:ascii="Calibri" w:hAnsi="Calibri" w:cs="Times New Roman"/>
        </w:rPr>
        <w:t>, 2010:</w:t>
      </w:r>
      <w:r w:rsidRPr="006730E3">
        <w:rPr>
          <w:rFonts w:ascii="Calibri" w:hAnsi="Calibri" w:cs="Times New Roman"/>
        </w:rPr>
        <w:t xml:space="preserve"> 587 y </w:t>
      </w:r>
      <w:r w:rsidRPr="006730E3">
        <w:rPr>
          <w:rFonts w:ascii="Calibri" w:hAnsi="Calibri" w:cs="Times New Roman"/>
          <w:smallCaps/>
        </w:rPr>
        <w:t>Álvarez Lata</w:t>
      </w:r>
      <w:r>
        <w:rPr>
          <w:rFonts w:ascii="Calibri" w:hAnsi="Calibri" w:cs="Times New Roman"/>
        </w:rPr>
        <w:t>, 2015:</w:t>
      </w:r>
      <w:r w:rsidRPr="006730E3">
        <w:rPr>
          <w:rFonts w:ascii="Calibri" w:hAnsi="Calibri" w:cs="Times New Roman"/>
        </w:rPr>
        <w:t xml:space="preserve"> 161.</w:t>
      </w:r>
    </w:p>
  </w:footnote>
  <w:footnote w:id="1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Como explica </w:t>
      </w:r>
      <w:r w:rsidRPr="006730E3">
        <w:rPr>
          <w:rFonts w:ascii="Calibri" w:hAnsi="Calibri" w:cs="Times New Roman"/>
          <w:smallCaps/>
        </w:rPr>
        <w:t>García Rubio</w:t>
      </w:r>
      <w:r>
        <w:rPr>
          <w:rFonts w:ascii="Calibri" w:hAnsi="Calibri" w:cs="Times New Roman"/>
        </w:rPr>
        <w:t>, 2015:</w:t>
      </w:r>
      <w:r w:rsidRPr="006730E3">
        <w:rPr>
          <w:rFonts w:ascii="Calibri" w:hAnsi="Calibri" w:cs="Times New Roman"/>
        </w:rPr>
        <w:t xml:space="preserve"> 37, la equivalencia entre norma dispositiva y supletoria, aunque sea la tesis generalmente más manejada, no es absoluta y está rodeada de matices.</w:t>
      </w:r>
    </w:p>
  </w:footnote>
  <w:footnote w:id="1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el ámbito académico, también en contra </w:t>
      </w:r>
      <w:r w:rsidRPr="006730E3">
        <w:rPr>
          <w:rFonts w:ascii="Calibri" w:hAnsi="Calibri" w:cs="Times New Roman"/>
          <w:smallCaps/>
        </w:rPr>
        <w:t xml:space="preserve">Cantero Núñez, </w:t>
      </w:r>
      <w:proofErr w:type="spellStart"/>
      <w:r w:rsidRPr="006730E3">
        <w:rPr>
          <w:rFonts w:ascii="Calibri" w:hAnsi="Calibri" w:cs="Times New Roman"/>
          <w:smallCaps/>
        </w:rPr>
        <w:t>Legerén</w:t>
      </w:r>
      <w:proofErr w:type="spellEnd"/>
      <w:r w:rsidRPr="006730E3">
        <w:rPr>
          <w:rFonts w:ascii="Calibri" w:hAnsi="Calibri" w:cs="Times New Roman"/>
          <w:smallCaps/>
        </w:rPr>
        <w:t>-Molina</w:t>
      </w:r>
      <w:r>
        <w:rPr>
          <w:rFonts w:ascii="Calibri" w:hAnsi="Calibri" w:cs="Times New Roman"/>
        </w:rPr>
        <w:t>, 2018:</w:t>
      </w:r>
      <w:r w:rsidRPr="006730E3">
        <w:rPr>
          <w:rFonts w:ascii="Calibri" w:hAnsi="Calibri" w:cs="Times New Roman"/>
        </w:rPr>
        <w:t xml:space="preserve"> 285.</w:t>
      </w:r>
    </w:p>
  </w:footnote>
  <w:footnote w:id="1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Calvo Vidal, Cantero Núñez, Sanmartín Losada</w:t>
      </w:r>
      <w:r>
        <w:rPr>
          <w:rFonts w:ascii="Calibri" w:hAnsi="Calibri" w:cs="Times New Roman"/>
        </w:rPr>
        <w:t>, 2007:</w:t>
      </w:r>
      <w:r w:rsidRPr="006730E3">
        <w:rPr>
          <w:rFonts w:ascii="Calibri" w:hAnsi="Calibri" w:cs="Times New Roman"/>
        </w:rPr>
        <w:t xml:space="preserve"> 1294 y 1319. Los autores consideran que tales argumentos son aplicables tanto a la primigenia versión de la DAT como a la actual.</w:t>
      </w:r>
    </w:p>
  </w:footnote>
  <w:footnote w:id="1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i/>
        </w:rPr>
        <w:t>Ibidem</w:t>
      </w:r>
      <w:proofErr w:type="spellEnd"/>
      <w:r>
        <w:rPr>
          <w:rFonts w:ascii="Calibri" w:hAnsi="Calibri" w:cs="Times New Roman"/>
        </w:rPr>
        <w:t>:</w:t>
      </w:r>
      <w:r w:rsidRPr="006730E3">
        <w:rPr>
          <w:rFonts w:ascii="Calibri" w:hAnsi="Calibri" w:cs="Times New Roman"/>
        </w:rPr>
        <w:t xml:space="preserve"> 1266 y 1267.</w:t>
      </w:r>
    </w:p>
  </w:footnote>
  <w:footnote w:id="2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García Rubio</w:t>
      </w:r>
      <w:r>
        <w:rPr>
          <w:rFonts w:ascii="Calibri" w:hAnsi="Calibri" w:cs="Times New Roman"/>
        </w:rPr>
        <w:t>, 2007:</w:t>
      </w:r>
      <w:r w:rsidRPr="006730E3">
        <w:rPr>
          <w:rFonts w:ascii="Calibri" w:hAnsi="Calibri" w:cs="Times New Roman"/>
        </w:rPr>
        <w:t xml:space="preserve"> 201; </w:t>
      </w:r>
      <w:proofErr w:type="spellStart"/>
      <w:r w:rsidRPr="006730E3">
        <w:rPr>
          <w:rFonts w:ascii="Calibri" w:hAnsi="Calibri" w:cs="Times New Roman"/>
          <w:smallCaps/>
        </w:rPr>
        <w:t>Bercovitz</w:t>
      </w:r>
      <w:proofErr w:type="spellEnd"/>
      <w:r w:rsidRPr="006730E3">
        <w:rPr>
          <w:rFonts w:ascii="Calibri" w:hAnsi="Calibri" w:cs="Times New Roman"/>
          <w:smallCaps/>
        </w:rPr>
        <w:t xml:space="preserve"> Rodríguez-Cano</w:t>
      </w:r>
      <w:r>
        <w:rPr>
          <w:rFonts w:ascii="Calibri" w:hAnsi="Calibri" w:cs="Times New Roman"/>
        </w:rPr>
        <w:t>, 2007: 1-</w:t>
      </w:r>
      <w:r w:rsidRPr="006730E3">
        <w:rPr>
          <w:rFonts w:ascii="Calibri" w:hAnsi="Calibri" w:cs="Times New Roman"/>
        </w:rPr>
        <w:t xml:space="preserve">2; </w:t>
      </w:r>
      <w:r w:rsidRPr="006730E3">
        <w:rPr>
          <w:rFonts w:ascii="Calibri" w:hAnsi="Calibri" w:cs="Times New Roman"/>
          <w:smallCaps/>
        </w:rPr>
        <w:t>Hernández Ibáñez</w:t>
      </w:r>
      <w:r>
        <w:rPr>
          <w:rFonts w:ascii="Calibri" w:hAnsi="Calibri" w:cs="Times New Roman"/>
        </w:rPr>
        <w:t xml:space="preserve">, 2008: </w:t>
      </w:r>
      <w:r w:rsidRPr="006730E3">
        <w:rPr>
          <w:rFonts w:ascii="Calibri" w:hAnsi="Calibri" w:cs="Times New Roman"/>
        </w:rPr>
        <w:t xml:space="preserve">166 o </w:t>
      </w:r>
      <w:r w:rsidRPr="006730E3">
        <w:rPr>
          <w:rFonts w:ascii="Calibri" w:hAnsi="Calibri" w:cs="Times New Roman"/>
          <w:smallCaps/>
        </w:rPr>
        <w:t>Díaz Martínez</w:t>
      </w:r>
      <w:r>
        <w:rPr>
          <w:rFonts w:ascii="Calibri" w:hAnsi="Calibri" w:cs="Times New Roman"/>
        </w:rPr>
        <w:t>, 2010: 584-</w:t>
      </w:r>
      <w:r w:rsidRPr="006730E3">
        <w:rPr>
          <w:rFonts w:ascii="Calibri" w:hAnsi="Calibri" w:cs="Times New Roman"/>
        </w:rPr>
        <w:t>585.</w:t>
      </w:r>
    </w:p>
  </w:footnote>
  <w:footnote w:id="2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Vid</w:t>
      </w:r>
      <w:r w:rsidRPr="006730E3">
        <w:rPr>
          <w:rFonts w:ascii="Calibri" w:hAnsi="Calibri" w:cs="Times New Roman"/>
        </w:rPr>
        <w:t xml:space="preserve">. dicha Proposición en el Boletín Oficial del Parlamento de Galicia, nº 450 de la VI Legislatura, disponible en «http://www.parlamentodegalicia.es/sitios/web/BibliotecaBoletinsOficiais/B60450.PDF», consultado el 01/10/2018. Nótese que fue presentada conjuntamente por todos los grupos de la Cámara: grupo Popular de Galicia, Bloque Nacionalista </w:t>
      </w:r>
      <w:proofErr w:type="spellStart"/>
      <w:r w:rsidRPr="006730E3">
        <w:rPr>
          <w:rFonts w:ascii="Calibri" w:hAnsi="Calibri" w:cs="Times New Roman"/>
        </w:rPr>
        <w:t>Galego</w:t>
      </w:r>
      <w:proofErr w:type="spellEnd"/>
      <w:r w:rsidRPr="006730E3">
        <w:rPr>
          <w:rFonts w:ascii="Calibri" w:hAnsi="Calibri" w:cs="Times New Roman"/>
        </w:rPr>
        <w:t xml:space="preserve"> y los Socialistas de Galicia.</w:t>
      </w:r>
    </w:p>
  </w:footnote>
  <w:footnote w:id="2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Pr>
          <w:rFonts w:ascii="Calibri" w:hAnsi="Calibri" w:cs="Times New Roman"/>
        </w:rPr>
        <w:t>, 2007:</w:t>
      </w:r>
      <w:r w:rsidRPr="006730E3">
        <w:rPr>
          <w:rFonts w:ascii="Calibri" w:hAnsi="Calibri" w:cs="Times New Roman"/>
        </w:rPr>
        <w:t xml:space="preserve"> 200.</w:t>
      </w:r>
    </w:p>
  </w:footnote>
  <w:footnote w:id="2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i/>
        </w:rPr>
        <w:t>Ibidem</w:t>
      </w:r>
      <w:proofErr w:type="spellEnd"/>
      <w:r>
        <w:rPr>
          <w:rFonts w:ascii="Calibri" w:hAnsi="Calibri" w:cs="Times New Roman"/>
        </w:rPr>
        <w:t>:</w:t>
      </w:r>
      <w:r w:rsidRPr="006730E3">
        <w:rPr>
          <w:rFonts w:ascii="Calibri" w:hAnsi="Calibri" w:cs="Times New Roman"/>
        </w:rPr>
        <w:t xml:space="preserve"> 200. También </w:t>
      </w:r>
      <w:r w:rsidRPr="006730E3">
        <w:rPr>
          <w:rFonts w:ascii="Calibri" w:hAnsi="Calibri" w:cs="Times New Roman"/>
          <w:smallCaps/>
        </w:rPr>
        <w:t>Busto Lago</w:t>
      </w:r>
      <w:r w:rsidRPr="006730E3">
        <w:rPr>
          <w:rFonts w:ascii="Calibri" w:hAnsi="Calibri" w:cs="Times New Roman"/>
        </w:rPr>
        <w:t>, 2008</w:t>
      </w:r>
      <w:r>
        <w:rPr>
          <w:rFonts w:ascii="Calibri" w:hAnsi="Calibri" w:cs="Times New Roman"/>
        </w:rPr>
        <w:t>:</w:t>
      </w:r>
      <w:r w:rsidRPr="006730E3">
        <w:rPr>
          <w:rFonts w:ascii="Calibri" w:hAnsi="Calibri" w:cs="Times New Roman"/>
        </w:rPr>
        <w:t xml:space="preserve"> 1376; </w:t>
      </w:r>
      <w:r w:rsidRPr="006730E3">
        <w:rPr>
          <w:rFonts w:ascii="Calibri" w:hAnsi="Calibri" w:cs="Times New Roman"/>
          <w:smallCaps/>
        </w:rPr>
        <w:t>Álvarez Lata</w:t>
      </w:r>
      <w:r w:rsidRPr="006730E3">
        <w:rPr>
          <w:rFonts w:ascii="Calibri" w:hAnsi="Calibri" w:cs="Times New Roman"/>
        </w:rPr>
        <w:t>, 2015</w:t>
      </w:r>
      <w:r>
        <w:rPr>
          <w:rFonts w:ascii="Calibri" w:hAnsi="Calibri" w:cs="Times New Roman"/>
        </w:rPr>
        <w:t>:</w:t>
      </w:r>
      <w:r w:rsidRPr="006730E3">
        <w:rPr>
          <w:rFonts w:ascii="Calibri" w:hAnsi="Calibri" w:cs="Times New Roman"/>
        </w:rPr>
        <w:t xml:space="preserve"> 161 o </w:t>
      </w:r>
      <w:r w:rsidRPr="006730E3">
        <w:rPr>
          <w:rFonts w:ascii="Calibri" w:hAnsi="Calibri" w:cs="Times New Roman"/>
          <w:smallCaps/>
        </w:rPr>
        <w:t>Nieto Alonso</w:t>
      </w:r>
      <w:r w:rsidRPr="006730E3">
        <w:rPr>
          <w:rFonts w:ascii="Calibri" w:hAnsi="Calibri" w:cs="Times New Roman"/>
        </w:rPr>
        <w:t>, 2018</w:t>
      </w:r>
      <w:r>
        <w:rPr>
          <w:rFonts w:ascii="Calibri" w:hAnsi="Calibri" w:cs="Times New Roman"/>
        </w:rPr>
        <w:t>:</w:t>
      </w:r>
      <w:r w:rsidRPr="006730E3">
        <w:rPr>
          <w:rFonts w:ascii="Calibri" w:hAnsi="Calibri" w:cs="Times New Roman"/>
        </w:rPr>
        <w:t xml:space="preserve"> 17, quien afirma que, en el ámbito de la LDCG, «resulta estéril la discusión doctrinal y el debate jurisprudencial sobre la aplicación analógica de las normas del régimen económico matrimonial a las parejas de hecho».</w:t>
      </w:r>
    </w:p>
  </w:footnote>
  <w:footnote w:id="2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smallCaps/>
        </w:rPr>
        <w:t>Valpuesta</w:t>
      </w:r>
      <w:proofErr w:type="spellEnd"/>
      <w:r w:rsidRPr="006730E3">
        <w:rPr>
          <w:rFonts w:ascii="Calibri" w:hAnsi="Calibri" w:cs="Times New Roman"/>
          <w:smallCaps/>
        </w:rPr>
        <w:t xml:space="preserve"> Fernández</w:t>
      </w:r>
      <w:r w:rsidRPr="006730E3">
        <w:rPr>
          <w:rFonts w:ascii="Calibri" w:hAnsi="Calibri" w:cs="Times New Roman"/>
        </w:rPr>
        <w:t>, 1995</w:t>
      </w:r>
      <w:r>
        <w:rPr>
          <w:rFonts w:ascii="Calibri" w:hAnsi="Calibri" w:cs="Times New Roman"/>
        </w:rPr>
        <w:t>: 60-</w:t>
      </w:r>
      <w:r w:rsidRPr="006730E3">
        <w:rPr>
          <w:rFonts w:ascii="Calibri" w:hAnsi="Calibri" w:cs="Times New Roman"/>
        </w:rPr>
        <w:t xml:space="preserve">61;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200.</w:t>
      </w:r>
    </w:p>
  </w:footnote>
  <w:footnote w:id="2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Con relación a dichos inconvenientes, </w:t>
      </w:r>
      <w:proofErr w:type="spellStart"/>
      <w:r w:rsidRPr="006730E3">
        <w:rPr>
          <w:rFonts w:ascii="Calibri" w:hAnsi="Calibri" w:cs="Times New Roman"/>
          <w:smallCaps/>
        </w:rPr>
        <w:t>Espiñeira</w:t>
      </w:r>
      <w:proofErr w:type="spellEnd"/>
      <w:r w:rsidRPr="006730E3">
        <w:rPr>
          <w:rFonts w:ascii="Calibri" w:hAnsi="Calibri" w:cs="Times New Roman"/>
          <w:smallCaps/>
        </w:rPr>
        <w:t xml:space="preserve"> Soto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8, se muestra contraria a la aplicación de la sociedad de gananciales a la pareja de la DAT por la «dudosa plena eficacia de una norma de estas características en nuestro tráfico jurídico privado».</w:t>
      </w:r>
    </w:p>
  </w:footnote>
  <w:footnote w:id="2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xml:space="preserve">, </w:t>
      </w:r>
      <w:r>
        <w:rPr>
          <w:rFonts w:ascii="Calibri" w:hAnsi="Calibri" w:cs="Times New Roman"/>
        </w:rPr>
        <w:t>2018-1:</w:t>
      </w:r>
      <w:r w:rsidRPr="006730E3">
        <w:rPr>
          <w:rFonts w:ascii="Calibri" w:hAnsi="Calibri" w:cs="Times New Roman"/>
        </w:rPr>
        <w:t xml:space="preserve"> 24. En similar sentido, se manifiesta la pareja recurrente contra la nota de calificación negativa por la que se deniega la inscripción en el Registro de la Propiedad de la escritura pública por la que dicha pareja aporta una finca a la sociedad de gananciales que habían constituido conforme a la legislación andaluza sobre parejas no casadas. La Resolución de la Dirección General de los Registros y del Notariado de 7 de febrero de 2013 (RJ\2013\2908), desestima el recurso y confirma la nota de calificación. Aunque la regulación andaluza se aleja de las particularidades de la ley gallega; los argumentos de los recurrentes contra la no aplicación de la sociedad de gananciales a la pareja son extrapolables a la LDCG: una norma de rango legal, que no ha sido declarada inconstitucional ni ha sido objeto de recurso alguno, permite a las parejas de hecho configurar libremente sus relaciones económicas. Por ello, como regulación vigente, el funcionario no la puede desconocer, al igual que los tribunales, quienes, en su caso, sólo podrían plantear la correspondiente cuestión de inconstitucionalidad y, entre tanto, suspender el procedimiento (</w:t>
      </w:r>
      <w:r w:rsidRPr="006730E3">
        <w:rPr>
          <w:rFonts w:ascii="Calibri" w:hAnsi="Calibri" w:cs="Times New Roman"/>
          <w:i/>
        </w:rPr>
        <w:t>cfr</w:t>
      </w:r>
      <w:r w:rsidRPr="006730E3">
        <w:rPr>
          <w:rFonts w:ascii="Calibri" w:hAnsi="Calibri" w:cs="Times New Roman"/>
        </w:rPr>
        <w:t>. el Hecho tercero de la Resolución).</w:t>
      </w:r>
    </w:p>
  </w:footnote>
  <w:footnote w:id="2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Cfr</w:t>
      </w:r>
      <w:r w:rsidRPr="006730E3">
        <w:rPr>
          <w:rFonts w:ascii="Calibri" w:hAnsi="Calibri" w:cs="Times New Roman"/>
        </w:rPr>
        <w:t>. art. 106.1CE; art. 6 de la Ley Orgánica 6/1985, de 1 de julio, del Poder Judicial y art. 47.2 de la Ley 39/2015, de 1 de octubre, del Procedimiento Administrativo Común de las Administraciones Públicas.</w:t>
      </w:r>
    </w:p>
  </w:footnote>
  <w:footnote w:id="2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Auto de la Audiencia Provincial de A Coruña (Sección 6ª) de 13 de marzo de 2017 (JUR 2017\119096).</w:t>
      </w:r>
    </w:p>
  </w:footnote>
  <w:footnote w:id="29">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JUR\2010\199759.</w:t>
      </w:r>
    </w:p>
  </w:footnote>
  <w:footnote w:id="3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1.</w:t>
      </w:r>
    </w:p>
  </w:footnote>
  <w:footnote w:id="3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2012</w:t>
      </w:r>
      <w:r>
        <w:rPr>
          <w:rFonts w:ascii="Calibri" w:hAnsi="Calibri" w:cs="Times New Roman"/>
        </w:rPr>
        <w:t>:</w:t>
      </w:r>
      <w:r w:rsidRPr="006730E3">
        <w:rPr>
          <w:rFonts w:ascii="Calibri" w:hAnsi="Calibri" w:cs="Times New Roman"/>
        </w:rPr>
        <w:t xml:space="preserve"> 1481, afirma que el legislador estatal está incurriendo en una verdadera situación de inconstitucionalidad por omisión al eludir su obligación de legislar en esta materia y otras de su competencia exclusiva.</w:t>
      </w:r>
    </w:p>
  </w:footnote>
  <w:footnote w:id="32">
    <w:p w:rsidR="00B13CC8" w:rsidRPr="00FA525F"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FA525F">
        <w:rPr>
          <w:rFonts w:ascii="Calibri" w:hAnsi="Calibri" w:cs="Times New Roman"/>
          <w:sz w:val="20"/>
          <w:szCs w:val="20"/>
        </w:rPr>
        <w:t xml:space="preserve"> JUR\2018\130977.</w:t>
      </w:r>
    </w:p>
  </w:footnote>
  <w:footnote w:id="33">
    <w:p w:rsidR="00B13CC8" w:rsidRPr="00FA525F"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FA525F">
        <w:rPr>
          <w:rFonts w:ascii="Calibri" w:hAnsi="Calibri" w:cs="Times New Roman"/>
        </w:rPr>
        <w:t xml:space="preserve"> FJ 2.</w:t>
      </w:r>
    </w:p>
  </w:footnote>
  <w:footnote w:id="34">
    <w:p w:rsidR="00B13CC8" w:rsidRPr="00FA525F"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FA525F">
        <w:rPr>
          <w:rFonts w:ascii="Calibri" w:hAnsi="Calibri" w:cs="Times New Roman"/>
        </w:rPr>
        <w:t xml:space="preserve"> FJ 6.</w:t>
      </w:r>
    </w:p>
  </w:footnote>
  <w:footnote w:id="35">
    <w:p w:rsidR="00B13CC8" w:rsidRPr="00FA525F"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FA525F">
        <w:rPr>
          <w:rFonts w:ascii="Calibri" w:hAnsi="Calibri" w:cs="Times New Roman"/>
          <w:sz w:val="20"/>
          <w:szCs w:val="20"/>
        </w:rPr>
        <w:t xml:space="preserve"> JUR\2018\184905.</w:t>
      </w:r>
    </w:p>
  </w:footnote>
  <w:footnote w:id="36">
    <w:p w:rsidR="00B13CC8" w:rsidRPr="00FA525F"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FA525F">
        <w:rPr>
          <w:rFonts w:ascii="Calibri" w:hAnsi="Calibri" w:cs="Times New Roman"/>
        </w:rPr>
        <w:t xml:space="preserve"> FJ 4.</w:t>
      </w:r>
    </w:p>
  </w:footnote>
  <w:footnote w:id="37">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JUR\2018\264819. </w:t>
      </w:r>
      <w:r w:rsidRPr="006730E3">
        <w:rPr>
          <w:rFonts w:ascii="Calibri" w:hAnsi="Calibri" w:cs="Times New Roman"/>
          <w:i/>
          <w:sz w:val="20"/>
          <w:szCs w:val="20"/>
        </w:rPr>
        <w:t>Cfr.</w:t>
      </w:r>
      <w:r w:rsidRPr="006730E3">
        <w:rPr>
          <w:rFonts w:ascii="Calibri" w:hAnsi="Calibri" w:cs="Times New Roman"/>
          <w:sz w:val="20"/>
          <w:szCs w:val="20"/>
        </w:rPr>
        <w:t xml:space="preserve"> específicamente el FJ 3.</w:t>
      </w:r>
    </w:p>
  </w:footnote>
  <w:footnote w:id="3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SSTC 18/2014 de 30 de enero (RTC 2014\18), 75/2014 de 8 de mayo (RTC 2014\75), 125/2014 de 21 de julio (RTC 2014\125) y 127/2014 de 21 de julio (RTC 2014\127).</w:t>
      </w:r>
    </w:p>
  </w:footnote>
  <w:footnote w:id="3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RJ \2010\8701. </w:t>
      </w:r>
      <w:r w:rsidRPr="006730E3">
        <w:rPr>
          <w:rFonts w:ascii="Calibri" w:hAnsi="Calibri" w:cs="Times New Roman"/>
          <w:i/>
        </w:rPr>
        <w:t>Vid</w:t>
      </w:r>
      <w:r w:rsidRPr="006730E3">
        <w:rPr>
          <w:rFonts w:ascii="Calibri" w:hAnsi="Calibri" w:cs="Times New Roman"/>
        </w:rPr>
        <w:t>. FJ 4.</w:t>
      </w:r>
    </w:p>
  </w:footnote>
  <w:footnote w:id="4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RJ \2014\4499.</w:t>
      </w:r>
      <w:r w:rsidRPr="006730E3">
        <w:rPr>
          <w:rFonts w:ascii="Calibri" w:hAnsi="Calibri" w:cs="Times New Roman"/>
          <w:i/>
        </w:rPr>
        <w:t xml:space="preserve"> Vid</w:t>
      </w:r>
      <w:r w:rsidRPr="006730E3">
        <w:rPr>
          <w:rFonts w:ascii="Calibri" w:hAnsi="Calibri" w:cs="Times New Roman"/>
        </w:rPr>
        <w:t>. FJ 3.</w:t>
      </w:r>
    </w:p>
  </w:footnote>
  <w:footnote w:id="4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Para </w:t>
      </w:r>
      <w:proofErr w:type="spellStart"/>
      <w:r w:rsidRPr="006730E3">
        <w:rPr>
          <w:rFonts w:ascii="Calibri" w:hAnsi="Calibri" w:cs="Times New Roman"/>
          <w:smallCaps/>
        </w:rPr>
        <w:t>Espiñeira</w:t>
      </w:r>
      <w:proofErr w:type="spellEnd"/>
      <w:r w:rsidRPr="006730E3">
        <w:rPr>
          <w:rFonts w:ascii="Calibri" w:hAnsi="Calibri" w:cs="Times New Roman"/>
          <w:smallCaps/>
        </w:rPr>
        <w:t xml:space="preserve"> Soto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8, se trata del argumento básico cuando analiza la DAT en su versión de 2006.</w:t>
      </w:r>
    </w:p>
  </w:footnote>
  <w:footnote w:id="42">
    <w:p w:rsidR="00B13CC8" w:rsidRPr="006730E3" w:rsidRDefault="00B13CC8" w:rsidP="006730E3">
      <w:pPr>
        <w:pStyle w:val="parrafo2"/>
        <w:spacing w:before="0" w:beforeAutospacing="0" w:after="0" w:afterAutospacing="0"/>
        <w:jc w:val="both"/>
        <w:rPr>
          <w:rFonts w:ascii="Calibri" w:hAnsi="Calibri"/>
          <w:sz w:val="20"/>
          <w:szCs w:val="20"/>
        </w:rPr>
      </w:pPr>
      <w:r w:rsidRPr="006730E3">
        <w:rPr>
          <w:rStyle w:val="Refdenotaalpie"/>
          <w:rFonts w:ascii="Calibri" w:hAnsi="Calibri"/>
          <w:sz w:val="20"/>
          <w:szCs w:val="20"/>
        </w:rPr>
        <w:footnoteRef/>
      </w:r>
      <w:r w:rsidRPr="006730E3">
        <w:rPr>
          <w:rFonts w:ascii="Calibri" w:hAnsi="Calibri"/>
          <w:sz w:val="20"/>
          <w:szCs w:val="20"/>
        </w:rPr>
        <w:t xml:space="preserve"> En su primera versión del año 2006, la DAT señalaba lo siguiente: «A los efectos de aplicación de la presente ley se equiparan al matrimonio las relaciones maritales mantenidas con intención o vocación de permanencia, con lo cual se extienden, por tanto, a los miembros de la pareja los derechos y obligaciones que esta ley reconoce a los cónyuges. Tendrá la consideración de relación marital análoga al matrimonio la formada por dos personas que lleven conviviendo al menos un año, pudiéndose acreditar tal circunstancia por medio de la inscripción en el registro, manifestación expresa mediante acta de notoriedad o cualquier otro medio admisible en derecho. En caso de tener hijos en común será suficiente con acreditar la convivencia».</w:t>
      </w:r>
    </w:p>
  </w:footnote>
  <w:footnote w:id="4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Calvo Vidal, Cantero Núñez, Sanmartín Losada</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1320.</w:t>
      </w:r>
    </w:p>
  </w:footnote>
  <w:footnote w:id="4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Pérez Martín</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28 y 29 o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 710-</w:t>
      </w:r>
      <w:r w:rsidRPr="006730E3">
        <w:rPr>
          <w:rFonts w:ascii="Calibri" w:hAnsi="Calibri" w:cs="Times New Roman"/>
        </w:rPr>
        <w:t>715.</w:t>
      </w:r>
    </w:p>
  </w:footnote>
  <w:footnote w:id="4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Así lo recalca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 199-</w:t>
      </w:r>
      <w:r w:rsidRPr="006730E3">
        <w:rPr>
          <w:rFonts w:ascii="Calibri" w:hAnsi="Calibri" w:cs="Times New Roman"/>
        </w:rPr>
        <w:t>200.</w:t>
      </w:r>
    </w:p>
  </w:footnote>
  <w:footnote w:id="4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Sobre esta doctrina, </w:t>
      </w:r>
      <w:r w:rsidRPr="006730E3">
        <w:rPr>
          <w:rFonts w:ascii="Calibri" w:hAnsi="Calibri" w:cs="Times New Roman"/>
          <w:smallCaps/>
        </w:rPr>
        <w:t>Roca i Trías</w:t>
      </w:r>
      <w:r w:rsidRPr="006730E3">
        <w:rPr>
          <w:rFonts w:ascii="Calibri" w:hAnsi="Calibri" w:cs="Times New Roman"/>
        </w:rPr>
        <w:t>, 1995</w:t>
      </w:r>
      <w:r>
        <w:rPr>
          <w:rFonts w:ascii="Calibri" w:hAnsi="Calibri" w:cs="Times New Roman"/>
        </w:rPr>
        <w:t>: 45-</w:t>
      </w:r>
      <w:r w:rsidRPr="006730E3">
        <w:rPr>
          <w:rFonts w:ascii="Calibri" w:hAnsi="Calibri" w:cs="Times New Roman"/>
        </w:rPr>
        <w:t>46.</w:t>
      </w:r>
    </w:p>
  </w:footnote>
  <w:footnote w:id="47">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RTC\2013\93.</w:t>
      </w:r>
    </w:p>
  </w:footnote>
  <w:footnote w:id="48">
    <w:p w:rsidR="00B13CC8" w:rsidRPr="006730E3" w:rsidRDefault="00B13CC8" w:rsidP="006730E3">
      <w:pPr>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En efecto, aunque los criterios sostenidos por el TC sean trasladables a la LDCG, la declaración de inconstitucionalidad corresponde sólo al TC. De ahí que si en el caso concreto el juez no plantea la correspondiente cuestión de inconstitucionalidad se estarán aplicando leyes sobre parejas de hecho que, si bien no han sido declaradas inconstitucionales, lo son </w:t>
      </w:r>
      <w:r w:rsidRPr="006730E3">
        <w:rPr>
          <w:rFonts w:ascii="Calibri" w:hAnsi="Calibri" w:cs="Times New Roman"/>
          <w:i/>
          <w:iCs/>
          <w:sz w:val="20"/>
          <w:szCs w:val="20"/>
        </w:rPr>
        <w:t>de facto</w:t>
      </w:r>
      <w:r w:rsidRPr="006730E3">
        <w:rPr>
          <w:rFonts w:ascii="Calibri" w:hAnsi="Calibri" w:cs="Times New Roman"/>
          <w:sz w:val="20"/>
          <w:szCs w:val="20"/>
        </w:rPr>
        <w:t xml:space="preserve">. En opinión de </w:t>
      </w:r>
      <w:r w:rsidRPr="006730E3">
        <w:rPr>
          <w:rFonts w:ascii="Calibri" w:hAnsi="Calibri" w:cs="Times New Roman"/>
          <w:smallCaps/>
          <w:sz w:val="20"/>
          <w:szCs w:val="20"/>
        </w:rPr>
        <w:t>García Rubio</w:t>
      </w:r>
      <w:r w:rsidRPr="006730E3">
        <w:rPr>
          <w:rFonts w:ascii="Calibri" w:hAnsi="Calibri" w:cs="Times New Roman"/>
          <w:sz w:val="20"/>
          <w:szCs w:val="20"/>
        </w:rPr>
        <w:t>, 2017</w:t>
      </w:r>
      <w:r>
        <w:rPr>
          <w:rFonts w:ascii="Calibri" w:hAnsi="Calibri" w:cs="Times New Roman"/>
          <w:sz w:val="20"/>
          <w:szCs w:val="20"/>
        </w:rPr>
        <w:t>: 17-</w:t>
      </w:r>
      <w:r w:rsidRPr="006730E3">
        <w:rPr>
          <w:rFonts w:ascii="Calibri" w:hAnsi="Calibri" w:cs="Times New Roman"/>
          <w:sz w:val="20"/>
          <w:szCs w:val="20"/>
        </w:rPr>
        <w:t>21, aunque ello pueda justificarse técnica y formalmente, en nada contribuye a la solidez y claridad del sistema.</w:t>
      </w:r>
    </w:p>
  </w:footnote>
  <w:footnote w:id="4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Sobre el art. 2.2 LN, </w:t>
      </w:r>
      <w:r w:rsidRPr="006730E3">
        <w:rPr>
          <w:rFonts w:ascii="Calibri" w:hAnsi="Calibri" w:cs="Times New Roman"/>
          <w:i/>
        </w:rPr>
        <w:t>vid.</w:t>
      </w:r>
      <w:r w:rsidRPr="006730E3">
        <w:rPr>
          <w:rFonts w:ascii="Calibri" w:hAnsi="Calibri" w:cs="Times New Roman"/>
        </w:rPr>
        <w:t xml:space="preserve"> el FJ 9.</w:t>
      </w:r>
    </w:p>
  </w:footnote>
  <w:footnote w:id="5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8.</w:t>
      </w:r>
    </w:p>
  </w:footnote>
  <w:footnote w:id="5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9.</w:t>
      </w:r>
    </w:p>
  </w:footnote>
  <w:footnote w:id="5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Cfr</w:t>
      </w:r>
      <w:r w:rsidRPr="006730E3">
        <w:rPr>
          <w:rFonts w:ascii="Calibri" w:hAnsi="Calibri" w:cs="Times New Roman"/>
        </w:rPr>
        <w:t>. nota al pie de página 57.</w:t>
      </w:r>
    </w:p>
  </w:footnote>
  <w:footnote w:id="5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Las tres cuestiones son abordadas en el FJ 11.</w:t>
      </w:r>
    </w:p>
  </w:footnote>
  <w:footnote w:id="5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Para </w:t>
      </w:r>
      <w:r w:rsidRPr="006730E3">
        <w:rPr>
          <w:rFonts w:ascii="Calibri" w:hAnsi="Calibri" w:cs="Times New Roman"/>
          <w:smallCaps/>
        </w:rPr>
        <w:t>Álvarez Lata</w:t>
      </w:r>
      <w:r w:rsidRPr="006730E3">
        <w:rPr>
          <w:rFonts w:ascii="Calibri" w:hAnsi="Calibri" w:cs="Times New Roman"/>
        </w:rPr>
        <w:t>, 2015</w:t>
      </w:r>
      <w:r>
        <w:rPr>
          <w:rFonts w:ascii="Calibri" w:hAnsi="Calibri" w:cs="Times New Roman"/>
        </w:rPr>
        <w:t>:</w:t>
      </w:r>
      <w:r w:rsidRPr="006730E3">
        <w:rPr>
          <w:rFonts w:ascii="Calibri" w:hAnsi="Calibri" w:cs="Times New Roman"/>
        </w:rPr>
        <w:t xml:space="preserve"> 172, tales requisitos suponen que la DAT requiere un «doble consentimiento» que sí se ajusta a los parámetros marcado por el TC. Por su parte, </w:t>
      </w:r>
      <w:r w:rsidRPr="006730E3">
        <w:rPr>
          <w:rFonts w:ascii="Calibri" w:hAnsi="Calibri" w:cs="Times New Roman"/>
          <w:smallCaps/>
        </w:rPr>
        <w:t>Mariño Pardo</w:t>
      </w:r>
      <w:r w:rsidRPr="006730E3">
        <w:rPr>
          <w:rFonts w:ascii="Calibri" w:hAnsi="Calibri" w:cs="Times New Roman"/>
        </w:rPr>
        <w:t>, 2014, considera discutible la extrapolación de la doctrina del TC al caso gallego.</w:t>
      </w:r>
    </w:p>
  </w:footnote>
  <w:footnote w:id="5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2013</w:t>
      </w:r>
      <w:r>
        <w:rPr>
          <w:rFonts w:ascii="Calibri" w:hAnsi="Calibri" w:cs="Times New Roman"/>
        </w:rPr>
        <w:t>:</w:t>
      </w:r>
      <w:r w:rsidRPr="006730E3">
        <w:rPr>
          <w:rFonts w:ascii="Calibri" w:hAnsi="Calibri" w:cs="Times New Roman"/>
        </w:rPr>
        <w:t xml:space="preserve"> 40. </w:t>
      </w:r>
    </w:p>
  </w:footnote>
  <w:footnote w:id="56">
    <w:p w:rsidR="00B13CC8" w:rsidRPr="006730E3" w:rsidRDefault="00B13CC8" w:rsidP="006730E3">
      <w:pPr>
        <w:pStyle w:val="Default"/>
        <w:jc w:val="both"/>
        <w:rPr>
          <w:rFonts w:ascii="Calibri" w:hAnsi="Calibri" w:cs="Times New Roman"/>
          <w:color w:val="auto"/>
          <w:sz w:val="20"/>
          <w:szCs w:val="20"/>
        </w:rPr>
      </w:pPr>
      <w:r w:rsidRPr="006730E3">
        <w:rPr>
          <w:rStyle w:val="Refdenotaalpie"/>
          <w:rFonts w:ascii="Calibri" w:hAnsi="Calibri" w:cs="Times New Roman"/>
          <w:color w:val="auto"/>
          <w:sz w:val="20"/>
          <w:szCs w:val="20"/>
        </w:rPr>
        <w:footnoteRef/>
      </w:r>
      <w:r w:rsidRPr="006730E3">
        <w:rPr>
          <w:rFonts w:ascii="Calibri" w:hAnsi="Calibri" w:cs="Times New Roman"/>
          <w:color w:val="auto"/>
          <w:sz w:val="20"/>
          <w:szCs w:val="20"/>
        </w:rPr>
        <w:t xml:space="preserve"> En este sentido, </w:t>
      </w:r>
      <w:r w:rsidRPr="006730E3">
        <w:rPr>
          <w:rFonts w:ascii="Calibri" w:hAnsi="Calibri" w:cs="Times New Roman"/>
          <w:smallCaps/>
          <w:color w:val="auto"/>
          <w:sz w:val="20"/>
          <w:szCs w:val="20"/>
        </w:rPr>
        <w:t xml:space="preserve">de </w:t>
      </w:r>
      <w:proofErr w:type="spellStart"/>
      <w:r w:rsidRPr="006730E3">
        <w:rPr>
          <w:rFonts w:ascii="Calibri" w:hAnsi="Calibri" w:cs="Times New Roman"/>
          <w:smallCaps/>
          <w:color w:val="auto"/>
          <w:sz w:val="20"/>
          <w:szCs w:val="20"/>
        </w:rPr>
        <w:t>Amunátegui</w:t>
      </w:r>
      <w:proofErr w:type="spellEnd"/>
      <w:r w:rsidRPr="006730E3">
        <w:rPr>
          <w:rFonts w:ascii="Calibri" w:hAnsi="Calibri" w:cs="Times New Roman"/>
          <w:smallCaps/>
          <w:color w:val="auto"/>
          <w:sz w:val="20"/>
          <w:szCs w:val="20"/>
        </w:rPr>
        <w:t xml:space="preserve"> Rodríguez</w:t>
      </w:r>
      <w:r w:rsidRPr="006730E3">
        <w:rPr>
          <w:rFonts w:ascii="Calibri" w:hAnsi="Calibri" w:cs="Times New Roman"/>
          <w:color w:val="auto"/>
          <w:sz w:val="20"/>
          <w:szCs w:val="20"/>
        </w:rPr>
        <w:t>, 2015</w:t>
      </w:r>
      <w:r>
        <w:rPr>
          <w:rFonts w:ascii="Calibri" w:hAnsi="Calibri" w:cs="Times New Roman"/>
          <w:color w:val="auto"/>
          <w:sz w:val="20"/>
          <w:szCs w:val="20"/>
        </w:rPr>
        <w:t>:</w:t>
      </w:r>
      <w:r w:rsidRPr="006730E3">
        <w:rPr>
          <w:rFonts w:ascii="Calibri" w:hAnsi="Calibri" w:cs="Times New Roman"/>
          <w:color w:val="auto"/>
          <w:sz w:val="20"/>
          <w:szCs w:val="20"/>
        </w:rPr>
        <w:t xml:space="preserve"> 28.</w:t>
      </w:r>
    </w:p>
  </w:footnote>
  <w:footnote w:id="5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Sobre estos modelos,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2013</w:t>
      </w:r>
      <w:r>
        <w:rPr>
          <w:rFonts w:ascii="Calibri" w:hAnsi="Calibri" w:cs="Times New Roman"/>
        </w:rPr>
        <w:t>: 14-</w:t>
      </w:r>
      <w:r w:rsidRPr="006730E3">
        <w:rPr>
          <w:rFonts w:ascii="Calibri" w:hAnsi="Calibri" w:cs="Times New Roman"/>
        </w:rPr>
        <w:t xml:space="preserve">15. </w:t>
      </w:r>
    </w:p>
  </w:footnote>
  <w:footnote w:id="58">
    <w:p w:rsidR="00B13CC8" w:rsidRPr="006730E3" w:rsidRDefault="00B13CC8" w:rsidP="006730E3">
      <w:pPr>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Es más, de todas las previsiones analizadas y que el TC denomina imperativas, nosotros sólo apreciamos tal carácter, al menos sin ninguna duda, en los derechos mínimos que establece la LN. Pero según el TC, éstos se corresponden con la compensación económica y la pensión periódica. Sin embargo, aclaremos que sólo la segunda se establece en la ley como estrictamente alimenticia en cuanto el art. 5.4 que la regula, a diferencia del art.5.5 referido a la compensación económica o incluso del art. 5.3 que regula la contribución proporcional de la pareja al mantenimiento de la familia, no especifica que su aplicación proceda en defecto de pacto. Acaso la confusión del TC se deba no sólo a su particular criterio sobre lo que es una norma imperativa y dispositiva, sino al hecho de que la LN utilice el término «compensación periódica» para referirse tanto a los derechos mínimos que enuncia (art. 5.4) como a la pensión compensatoria (art. 5.5). En cualquier caso, aunque se trate de una norma imperativa, consideramos que se trata de una previsión necesaria que, al igual que en la regulación de otro tipo de familias como el matrimonio, está encaminada a asegurar un estándar mínimo de protección en cuestiones particularmente sensibles que se sustraen de la disponibilidad de las partes. </w:t>
      </w:r>
    </w:p>
  </w:footnote>
  <w:footnote w:id="5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Así, </w:t>
      </w:r>
      <w:r w:rsidRPr="006730E3">
        <w:rPr>
          <w:rFonts w:ascii="Calibri" w:hAnsi="Calibri" w:cs="Times New Roman"/>
          <w:smallCaps/>
        </w:rPr>
        <w:t>García Rubio</w:t>
      </w:r>
      <w:r w:rsidRPr="006730E3">
        <w:rPr>
          <w:rFonts w:ascii="Calibri" w:hAnsi="Calibri" w:cs="Times New Roman"/>
        </w:rPr>
        <w:t>, 2015</w:t>
      </w:r>
      <w:r>
        <w:rPr>
          <w:rFonts w:ascii="Calibri" w:hAnsi="Calibri" w:cs="Times New Roman"/>
        </w:rPr>
        <w:t>:</w:t>
      </w:r>
      <w:r w:rsidRPr="006730E3">
        <w:rPr>
          <w:rFonts w:ascii="Calibri" w:hAnsi="Calibri" w:cs="Times New Roman"/>
        </w:rPr>
        <w:t xml:space="preserve"> 38 y ss. También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2013</w:t>
      </w:r>
      <w:r>
        <w:rPr>
          <w:rFonts w:ascii="Calibri" w:hAnsi="Calibri" w:cs="Times New Roman"/>
        </w:rPr>
        <w:t>:</w:t>
      </w:r>
      <w:r w:rsidRPr="006730E3">
        <w:rPr>
          <w:rFonts w:ascii="Calibri" w:hAnsi="Calibri" w:cs="Times New Roman"/>
        </w:rPr>
        <w:t xml:space="preserve"> 33, quien alude a la «concepción impropia de norma imperativa que maneja el tribunal».</w:t>
      </w:r>
    </w:p>
  </w:footnote>
  <w:footnote w:id="6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Normas que sólo podrían ser consideradas genuinamente dispositivas si se aplicasen en atención a los dos modelos factuales previstos en el art. 2.2 LN. En el tercero de los supuestos, correspondiente a un sistema </w:t>
      </w:r>
      <w:proofErr w:type="spellStart"/>
      <w:r w:rsidRPr="006730E3">
        <w:rPr>
          <w:rFonts w:ascii="Calibri" w:hAnsi="Calibri" w:cs="Times New Roman"/>
          <w:i/>
        </w:rPr>
        <w:t>opt</w:t>
      </w:r>
      <w:proofErr w:type="spellEnd"/>
      <w:r w:rsidRPr="006730E3">
        <w:rPr>
          <w:rFonts w:ascii="Calibri" w:hAnsi="Calibri" w:cs="Times New Roman"/>
          <w:i/>
        </w:rPr>
        <w:t>-in</w:t>
      </w:r>
      <w:r w:rsidRPr="006730E3">
        <w:rPr>
          <w:rFonts w:ascii="Calibri" w:hAnsi="Calibri" w:cs="Times New Roman"/>
        </w:rPr>
        <w:t xml:space="preserve">, dichas normas sólo serían dispositivas una vez que la pareja cumpliese las formalidades requeridas para su aplicación. Antes de ese momento, la pareja no casada estaría fuera del sistema. Por razones de este estilo, </w:t>
      </w:r>
      <w:r w:rsidRPr="006730E3">
        <w:rPr>
          <w:rFonts w:ascii="Calibri" w:hAnsi="Calibri" w:cs="Times New Roman"/>
          <w:smallCaps/>
        </w:rPr>
        <w:t>García Rubio</w:t>
      </w:r>
      <w:r w:rsidRPr="006730E3">
        <w:rPr>
          <w:rFonts w:ascii="Calibri" w:hAnsi="Calibri" w:cs="Times New Roman"/>
        </w:rPr>
        <w:t>, 2015</w:t>
      </w:r>
      <w:r>
        <w:rPr>
          <w:rFonts w:ascii="Calibri" w:hAnsi="Calibri" w:cs="Times New Roman"/>
        </w:rPr>
        <w:t>:</w:t>
      </w:r>
      <w:r w:rsidRPr="006730E3">
        <w:rPr>
          <w:rFonts w:ascii="Calibri" w:hAnsi="Calibri" w:cs="Times New Roman"/>
        </w:rPr>
        <w:t xml:space="preserve"> 38 y ss., cuestiona la bipartición entre normas imperativas y dispositivas al no cubrir toda la tipología de normas posibles.</w:t>
      </w:r>
    </w:p>
  </w:footnote>
  <w:footnote w:id="6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Así se pronuncia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2013</w:t>
      </w:r>
      <w:r>
        <w:rPr>
          <w:rFonts w:ascii="Calibri" w:hAnsi="Calibri" w:cs="Times New Roman"/>
        </w:rPr>
        <w:t>:</w:t>
      </w:r>
      <w:r w:rsidRPr="006730E3">
        <w:rPr>
          <w:rFonts w:ascii="Calibri" w:hAnsi="Calibri" w:cs="Times New Roman"/>
        </w:rPr>
        <w:t xml:space="preserve"> 39 quien considera que «la construcción jurídica que lleva a cabo en la sentencia tiene poco que ver con una pretendida necesidad de respeto a la autonomía de la voluntad de las partes». Por su parte, </w:t>
      </w:r>
      <w:r w:rsidRPr="006730E3">
        <w:rPr>
          <w:rFonts w:ascii="Calibri" w:hAnsi="Calibri" w:cs="Times New Roman"/>
          <w:smallCaps/>
        </w:rPr>
        <w:t xml:space="preserve">de </w:t>
      </w:r>
      <w:proofErr w:type="spellStart"/>
      <w:r w:rsidRPr="006730E3">
        <w:rPr>
          <w:rFonts w:ascii="Calibri" w:hAnsi="Calibri" w:cs="Times New Roman"/>
          <w:smallCaps/>
        </w:rPr>
        <w:t>Amunátegui</w:t>
      </w:r>
      <w:proofErr w:type="spellEnd"/>
      <w:r w:rsidRPr="006730E3">
        <w:rPr>
          <w:rFonts w:ascii="Calibri" w:hAnsi="Calibri" w:cs="Times New Roman"/>
          <w:smallCaps/>
        </w:rPr>
        <w:t xml:space="preserve"> Rodríguez</w:t>
      </w:r>
      <w:r w:rsidRPr="006730E3">
        <w:rPr>
          <w:rFonts w:ascii="Calibri" w:hAnsi="Calibri" w:cs="Times New Roman"/>
        </w:rPr>
        <w:t>, 2015</w:t>
      </w:r>
      <w:r>
        <w:rPr>
          <w:rFonts w:ascii="Calibri" w:hAnsi="Calibri" w:cs="Times New Roman"/>
        </w:rPr>
        <w:t>:</w:t>
      </w:r>
      <w:r w:rsidRPr="006730E3">
        <w:rPr>
          <w:rFonts w:ascii="Calibri" w:hAnsi="Calibri" w:cs="Times New Roman"/>
        </w:rPr>
        <w:t xml:space="preserve"> 27, tacha de extremo el criterio del TC.</w:t>
      </w:r>
    </w:p>
  </w:footnote>
  <w:footnote w:id="6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2012</w:t>
      </w:r>
      <w:r>
        <w:rPr>
          <w:rFonts w:ascii="Calibri" w:hAnsi="Calibri" w:cs="Times New Roman"/>
        </w:rPr>
        <w:t>:</w:t>
      </w:r>
      <w:r w:rsidRPr="006730E3">
        <w:rPr>
          <w:rFonts w:ascii="Calibri" w:hAnsi="Calibri" w:cs="Times New Roman"/>
        </w:rPr>
        <w:t xml:space="preserve"> 1508 y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2013</w:t>
      </w:r>
      <w:r>
        <w:rPr>
          <w:rFonts w:ascii="Calibri" w:hAnsi="Calibri" w:cs="Times New Roman"/>
        </w:rPr>
        <w:t>: 14-</w:t>
      </w:r>
      <w:r w:rsidRPr="006730E3">
        <w:rPr>
          <w:rFonts w:ascii="Calibri" w:hAnsi="Calibri" w:cs="Times New Roman"/>
        </w:rPr>
        <w:t>15.</w:t>
      </w:r>
    </w:p>
  </w:footnote>
  <w:footnote w:id="6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Mariño Pardo</w:t>
      </w:r>
      <w:r w:rsidRPr="006730E3">
        <w:rPr>
          <w:rFonts w:ascii="Calibri" w:hAnsi="Calibri" w:cs="Times New Roman"/>
        </w:rPr>
        <w:t>, 2014.</w:t>
      </w:r>
    </w:p>
  </w:footnote>
  <w:footnote w:id="6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Así lo dispone el art. 11 del Decreto de 2007 que fue modificado por el Decreto 146/2014, de 13 de noviembre. Este último decreto establece asimismo los modelos oficiales de los formularios para solicitar la inscripción de la pareja (incluyendo la declaración de voluntad), la cancelación y la modificación (adición o modificación del pacto regulador de las relaciones patrimoniales de la pareja) de dicha inscripción, así como la certificación de las declaraciones de inscripción, cancelación y modificación del régimen de la pareja.</w:t>
      </w:r>
    </w:p>
  </w:footnote>
  <w:footnote w:id="6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8.</w:t>
      </w:r>
    </w:p>
  </w:footnote>
  <w:footnote w:id="6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smallCaps/>
        </w:rPr>
        <w:t>Valpuesta</w:t>
      </w:r>
      <w:proofErr w:type="spellEnd"/>
      <w:r w:rsidRPr="006730E3">
        <w:rPr>
          <w:rFonts w:ascii="Calibri" w:hAnsi="Calibri" w:cs="Times New Roman"/>
          <w:smallCaps/>
        </w:rPr>
        <w:t xml:space="preserve"> Fernández</w:t>
      </w:r>
      <w:r w:rsidRPr="006730E3">
        <w:rPr>
          <w:rFonts w:ascii="Calibri" w:hAnsi="Calibri" w:cs="Times New Roman"/>
        </w:rPr>
        <w:t>, 1995</w:t>
      </w:r>
      <w:r>
        <w:rPr>
          <w:rFonts w:ascii="Calibri" w:hAnsi="Calibri" w:cs="Times New Roman"/>
        </w:rPr>
        <w:t>:</w:t>
      </w:r>
      <w:r w:rsidRPr="006730E3">
        <w:rPr>
          <w:rFonts w:ascii="Calibri" w:hAnsi="Calibri" w:cs="Times New Roman"/>
        </w:rPr>
        <w:t xml:space="preserve"> 52.</w:t>
      </w:r>
    </w:p>
  </w:footnote>
  <w:footnote w:id="6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No duda de su inconstitucionalidad por la invasión de dicha competencia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 204-</w:t>
      </w:r>
      <w:r w:rsidRPr="006730E3">
        <w:rPr>
          <w:rFonts w:ascii="Calibri" w:hAnsi="Calibri" w:cs="Times New Roman"/>
        </w:rPr>
        <w:t xml:space="preserve">205. En este sentido, </w:t>
      </w:r>
      <w:r w:rsidRPr="006730E3">
        <w:rPr>
          <w:rFonts w:ascii="Calibri" w:hAnsi="Calibri" w:cs="Times New Roman"/>
          <w:smallCaps/>
        </w:rPr>
        <w:t>Calvo Vidal, Cantero Núñez, Sanmartín Losada</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1306 y 1335; </w:t>
      </w:r>
      <w:r w:rsidRPr="006730E3">
        <w:rPr>
          <w:rFonts w:ascii="Calibri" w:hAnsi="Calibri" w:cs="Times New Roman"/>
          <w:smallCaps/>
        </w:rPr>
        <w:t>Hernández Ibáñez</w:t>
      </w:r>
      <w:r w:rsidRPr="006730E3">
        <w:rPr>
          <w:rFonts w:ascii="Calibri" w:hAnsi="Calibri" w:cs="Times New Roman"/>
        </w:rPr>
        <w:t>, 2008</w:t>
      </w:r>
      <w:r>
        <w:rPr>
          <w:rFonts w:ascii="Calibri" w:hAnsi="Calibri" w:cs="Times New Roman"/>
        </w:rPr>
        <w:t>: 160-</w:t>
      </w:r>
      <w:r w:rsidRPr="006730E3">
        <w:rPr>
          <w:rFonts w:ascii="Calibri" w:hAnsi="Calibri" w:cs="Times New Roman"/>
        </w:rPr>
        <w:t xml:space="preserve">161, y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 662-</w:t>
      </w:r>
      <w:r w:rsidRPr="006730E3">
        <w:rPr>
          <w:rFonts w:ascii="Calibri" w:hAnsi="Calibri" w:cs="Times New Roman"/>
        </w:rPr>
        <w:t xml:space="preserve">663. </w:t>
      </w:r>
      <w:r w:rsidRPr="006730E3">
        <w:rPr>
          <w:rFonts w:ascii="Calibri" w:hAnsi="Calibri" w:cs="Times New Roman"/>
          <w:smallCaps/>
        </w:rPr>
        <w:t>Miquel González</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27, por su parte, plantea la controversia.</w:t>
      </w:r>
    </w:p>
  </w:footnote>
  <w:footnote w:id="6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2012</w:t>
      </w:r>
      <w:r>
        <w:rPr>
          <w:rFonts w:ascii="Calibri" w:hAnsi="Calibri" w:cs="Times New Roman"/>
        </w:rPr>
        <w:t>: 1490, 1495, 1496, 1511-</w:t>
      </w:r>
      <w:r w:rsidRPr="006730E3">
        <w:rPr>
          <w:rFonts w:ascii="Calibri" w:hAnsi="Calibri" w:cs="Times New Roman"/>
        </w:rPr>
        <w:t xml:space="preserve">1512, presta atención especial a estas cuestiones y opina que los esquemas del Derecho patrimonial son insuficientes para estos fines. Sobre la necesidad de proteger al más débil, también </w:t>
      </w:r>
      <w:r w:rsidRPr="006730E3">
        <w:rPr>
          <w:rFonts w:ascii="Calibri" w:hAnsi="Calibri" w:cs="Times New Roman"/>
          <w:smallCaps/>
        </w:rPr>
        <w:t>Rivero Hernández</w:t>
      </w:r>
      <w:r w:rsidRPr="006730E3">
        <w:rPr>
          <w:rFonts w:ascii="Calibri" w:hAnsi="Calibri" w:cs="Times New Roman"/>
        </w:rPr>
        <w:t>, 1999</w:t>
      </w:r>
      <w:r>
        <w:rPr>
          <w:rFonts w:ascii="Calibri" w:hAnsi="Calibri" w:cs="Times New Roman"/>
        </w:rPr>
        <w:t>:</w:t>
      </w:r>
      <w:r w:rsidRPr="006730E3">
        <w:rPr>
          <w:rFonts w:ascii="Calibri" w:hAnsi="Calibri" w:cs="Times New Roman"/>
        </w:rPr>
        <w:t xml:space="preserve"> 225.</w:t>
      </w:r>
      <w:r w:rsidRPr="006730E3">
        <w:rPr>
          <w:rFonts w:ascii="Calibri" w:hAnsi="Calibri" w:cs="Times New Roman"/>
          <w:b/>
          <w:highlight w:val="yellow"/>
        </w:rPr>
        <w:t xml:space="preserve"> </w:t>
      </w:r>
    </w:p>
  </w:footnote>
  <w:footnote w:id="6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smallCaps/>
        </w:rPr>
        <w:t>Espiñeira</w:t>
      </w:r>
      <w:proofErr w:type="spellEnd"/>
      <w:r w:rsidRPr="006730E3">
        <w:rPr>
          <w:rFonts w:ascii="Calibri" w:hAnsi="Calibri" w:cs="Times New Roman"/>
          <w:smallCaps/>
        </w:rPr>
        <w:t xml:space="preserve"> Soto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9 quien, no obstante, es contraria a que la DAT suponga la aplicación de la sociedad de gananciales a los convivientes. </w:t>
      </w:r>
    </w:p>
  </w:footnote>
  <w:footnote w:id="7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2012</w:t>
      </w:r>
      <w:r>
        <w:rPr>
          <w:rFonts w:ascii="Calibri" w:hAnsi="Calibri" w:cs="Times New Roman"/>
        </w:rPr>
        <w:t>:</w:t>
      </w:r>
      <w:r w:rsidRPr="006730E3">
        <w:rPr>
          <w:rFonts w:ascii="Calibri" w:hAnsi="Calibri" w:cs="Times New Roman"/>
        </w:rPr>
        <w:t xml:space="preserve"> 1509 y </w:t>
      </w:r>
      <w:r w:rsidRPr="006730E3">
        <w:rPr>
          <w:rFonts w:ascii="Calibri" w:hAnsi="Calibri" w:cs="Times New Roman"/>
          <w:smallCaps/>
        </w:rPr>
        <w:t xml:space="preserve">Martín </w:t>
      </w:r>
      <w:proofErr w:type="spellStart"/>
      <w:r w:rsidRPr="006730E3">
        <w:rPr>
          <w:rFonts w:ascii="Calibri" w:hAnsi="Calibri" w:cs="Times New Roman"/>
          <w:smallCaps/>
        </w:rPr>
        <w:t>Casals</w:t>
      </w:r>
      <w:proofErr w:type="spellEnd"/>
      <w:r w:rsidRPr="006730E3">
        <w:rPr>
          <w:rFonts w:ascii="Calibri" w:hAnsi="Calibri" w:cs="Times New Roman"/>
        </w:rPr>
        <w:t>, 2005</w:t>
      </w:r>
      <w:r>
        <w:rPr>
          <w:rFonts w:ascii="Calibri" w:hAnsi="Calibri" w:cs="Times New Roman"/>
        </w:rPr>
        <w:t>:</w:t>
      </w:r>
      <w:r w:rsidRPr="006730E3">
        <w:rPr>
          <w:rFonts w:ascii="Calibri" w:hAnsi="Calibri" w:cs="Times New Roman"/>
        </w:rPr>
        <w:t xml:space="preserve"> 349. Con relación a la DAT en particular,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201. </w:t>
      </w:r>
    </w:p>
  </w:footnote>
  <w:footnote w:id="7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Cfr</w:t>
      </w:r>
      <w:r w:rsidRPr="006730E3">
        <w:rPr>
          <w:rFonts w:ascii="Calibri" w:hAnsi="Calibri" w:cs="Times New Roman"/>
        </w:rPr>
        <w:t>. nota al pie de página 57.</w:t>
      </w:r>
    </w:p>
  </w:footnote>
  <w:footnote w:id="7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9.</w:t>
      </w:r>
    </w:p>
  </w:footnote>
  <w:footnote w:id="7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5.</w:t>
      </w:r>
    </w:p>
  </w:footnote>
  <w:footnote w:id="74">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RTC\2013\81.</w:t>
      </w:r>
    </w:p>
  </w:footnote>
  <w:footnote w:id="7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También pasa el test de constitucionalidad el art. 8 LN sobre la posibilidad de que la pareja adopte de manera conjunta con los mismos derechos y deberes que los cónyuges. Según el TC (FJ 9) carece de naturaleza preceptiva porque, a pesar de no contemplar expresamente la necesidad de la asunción previa del contenido de la norma, sólo será de aplicación, por su propia naturaleza, cuando los integrantes de la pareja estable expresamente lo soliciten.</w:t>
      </w:r>
    </w:p>
  </w:footnote>
  <w:footnote w:id="7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Con una lectura muy crítica de las sentencias del TC que acuden a dicho criterio de la conexión suficiente (creado por la STC </w:t>
      </w:r>
      <w:r w:rsidRPr="006730E3">
        <w:rPr>
          <w:rFonts w:ascii="Calibri" w:hAnsi="Calibri" w:cs="Times New Roman"/>
          <w:lang w:val="es-ES_tradnl"/>
        </w:rPr>
        <w:t xml:space="preserve">88/1993, </w:t>
      </w:r>
      <w:r w:rsidRPr="006730E3">
        <w:rPr>
          <w:rFonts w:ascii="Calibri" w:hAnsi="Calibri" w:cs="Times New Roman"/>
        </w:rPr>
        <w:t xml:space="preserve">de 12 marzo, RTC 1993\88, y posteriormente utilizado, si bien con un contenido desigual, por las SSTC </w:t>
      </w:r>
      <w:r w:rsidRPr="006730E3">
        <w:rPr>
          <w:rFonts w:ascii="Calibri" w:hAnsi="Calibri" w:cs="Times New Roman"/>
          <w:lang w:val="es-ES_tradnl"/>
        </w:rPr>
        <w:t xml:space="preserve">82/2016, de 28 de abril, </w:t>
      </w:r>
      <w:r w:rsidRPr="006730E3">
        <w:rPr>
          <w:rFonts w:ascii="Calibri" w:hAnsi="Calibri" w:cs="Times New Roman"/>
        </w:rPr>
        <w:t xml:space="preserve">RTC 2016\82; </w:t>
      </w:r>
      <w:r w:rsidRPr="006730E3">
        <w:rPr>
          <w:rFonts w:ascii="Calibri" w:hAnsi="Calibri" w:cs="Times New Roman"/>
          <w:lang w:val="es-ES_tradnl"/>
        </w:rPr>
        <w:t xml:space="preserve">110 /2016, de 9 de junio, </w:t>
      </w:r>
      <w:r w:rsidRPr="006730E3">
        <w:rPr>
          <w:rFonts w:ascii="Calibri" w:hAnsi="Calibri" w:cs="Times New Roman"/>
        </w:rPr>
        <w:t xml:space="preserve">RTC 2016\110; </w:t>
      </w:r>
      <w:r w:rsidRPr="006730E3">
        <w:rPr>
          <w:rFonts w:ascii="Calibri" w:hAnsi="Calibri" w:cs="Times New Roman"/>
          <w:lang w:val="es-ES_tradnl"/>
        </w:rPr>
        <w:t xml:space="preserve">192/2016, de 17 de noviembre, </w:t>
      </w:r>
      <w:r w:rsidRPr="006730E3">
        <w:rPr>
          <w:rFonts w:ascii="Calibri" w:hAnsi="Calibri" w:cs="Times New Roman"/>
          <w:shd w:val="clear" w:color="auto" w:fill="FFFFFF"/>
        </w:rPr>
        <w:t xml:space="preserve">RTC 2016\192; </w:t>
      </w:r>
      <w:r w:rsidRPr="006730E3">
        <w:rPr>
          <w:rFonts w:ascii="Calibri" w:hAnsi="Calibri" w:cs="Times New Roman"/>
          <w:lang w:val="es-ES_tradnl"/>
        </w:rPr>
        <w:t xml:space="preserve">95/2017, </w:t>
      </w:r>
      <w:r w:rsidRPr="006730E3">
        <w:rPr>
          <w:rFonts w:ascii="Calibri" w:hAnsi="Calibri" w:cs="Times New Roman"/>
        </w:rPr>
        <w:t xml:space="preserve">de 6 julio, RTC 2017\95; </w:t>
      </w:r>
      <w:r w:rsidRPr="006730E3">
        <w:rPr>
          <w:rFonts w:ascii="Calibri" w:hAnsi="Calibri" w:cs="Times New Roman"/>
          <w:lang w:val="es-ES_tradnl"/>
        </w:rPr>
        <w:t xml:space="preserve">133/2017, de 16 de noviembre, </w:t>
      </w:r>
      <w:r w:rsidRPr="006730E3">
        <w:rPr>
          <w:rFonts w:ascii="Calibri" w:hAnsi="Calibri" w:cs="Times New Roman"/>
        </w:rPr>
        <w:t xml:space="preserve">de 16 noviembre, RTC 2017\133; </w:t>
      </w:r>
      <w:r w:rsidRPr="006730E3">
        <w:rPr>
          <w:rFonts w:ascii="Calibri" w:eastAsia="Times New Roman" w:hAnsi="Calibri" w:cs="Times New Roman"/>
          <w:lang w:val="es-ES_tradnl"/>
        </w:rPr>
        <w:t xml:space="preserve">40/2018, </w:t>
      </w:r>
      <w:r w:rsidRPr="006730E3">
        <w:rPr>
          <w:rFonts w:ascii="Calibri" w:hAnsi="Calibri" w:cs="Times New Roman"/>
        </w:rPr>
        <w:t xml:space="preserve">de 26 abril, RTC 2018\40 y, finalmente, 41/2018, de 26 abril, RTC 2018\41), </w:t>
      </w:r>
      <w:r w:rsidRPr="006730E3">
        <w:rPr>
          <w:rFonts w:ascii="Calibri" w:hAnsi="Calibri" w:cs="Times New Roman"/>
          <w:smallCaps/>
        </w:rPr>
        <w:t>García Rubio</w:t>
      </w:r>
      <w:r>
        <w:rPr>
          <w:rFonts w:ascii="Calibri" w:hAnsi="Calibri" w:cs="Times New Roman"/>
        </w:rPr>
        <w:t>, 2018-2</w:t>
      </w:r>
      <w:r w:rsidRPr="006730E3">
        <w:rPr>
          <w:rFonts w:ascii="Calibri" w:hAnsi="Calibri" w:cs="Times New Roman"/>
        </w:rPr>
        <w:t xml:space="preserve">, </w:t>
      </w:r>
      <w:proofErr w:type="spellStart"/>
      <w:r w:rsidRPr="006730E3">
        <w:rPr>
          <w:rFonts w:ascii="Calibri" w:hAnsi="Calibri" w:cs="Times New Roman"/>
          <w:i/>
        </w:rPr>
        <w:t>passim</w:t>
      </w:r>
      <w:proofErr w:type="spellEnd"/>
      <w:r w:rsidRPr="006730E3">
        <w:rPr>
          <w:rFonts w:ascii="Calibri" w:hAnsi="Calibri" w:cs="Times New Roman"/>
        </w:rPr>
        <w:t xml:space="preserve">, particularmente pp. 26 a 28, concluye que no se trata de </w:t>
      </w:r>
      <w:r w:rsidRPr="006730E3">
        <w:rPr>
          <w:rFonts w:ascii="Calibri" w:hAnsi="Calibri" w:cs="Times New Roman"/>
          <w:lang w:val="es-ES_tradnl"/>
        </w:rPr>
        <w:t>una genuina argumentación jurídica cerrada para interpretar una norma de la CE con alcance general, sino más bien de una herramienta que se maneja «a la carta» (o incluso con cierto trasfondo político) y que se ha aplicado con más laxitud en unas Comunidades Autónomas que en otras, generando así un posible trato discriminatorio entre legisladores autonómicos.</w:t>
      </w:r>
    </w:p>
  </w:footnote>
  <w:footnote w:id="77">
    <w:p w:rsidR="00B13CC8" w:rsidRPr="006730E3" w:rsidRDefault="00B13CC8" w:rsidP="006730E3">
      <w:pPr>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w:t>
      </w:r>
      <w:r w:rsidRPr="006730E3">
        <w:rPr>
          <w:rFonts w:ascii="Calibri" w:hAnsi="Calibri" w:cs="Times New Roman"/>
          <w:sz w:val="20"/>
          <w:szCs w:val="20"/>
          <w:shd w:val="clear" w:color="auto" w:fill="FFFFFF"/>
        </w:rPr>
        <w:t>El voto particular de la sentencia, en cambio, sí reparó en el examen expreso de ambos títulos competenciales («conservación, modificación y desarrollo por las Comunidades Autónomas de los derechos civiles, forales o especiales, allí donde existan» y «relaciones jurídico-civiles relativas a las formas de matrimonio»);</w:t>
      </w:r>
      <w:r w:rsidRPr="006730E3">
        <w:rPr>
          <w:rFonts w:ascii="Calibri" w:hAnsi="Calibri" w:cs="Times New Roman"/>
          <w:sz w:val="20"/>
          <w:szCs w:val="20"/>
        </w:rPr>
        <w:t xml:space="preserve"> </w:t>
      </w:r>
      <w:r w:rsidRPr="006730E3">
        <w:rPr>
          <w:rFonts w:ascii="Calibri" w:hAnsi="Calibri" w:cs="Times New Roman"/>
          <w:sz w:val="20"/>
          <w:szCs w:val="20"/>
          <w:shd w:val="clear" w:color="auto" w:fill="FFFFFF"/>
        </w:rPr>
        <w:t>si bien no es este el lugar para entrar a valorar su contenido, a su criterio no sólo se está creando una institución análoga al matrimonio, sino que la LN se excede en las competencias de Navarra para conservar, modificar y desarrollar su derecho civil al regular las parejas no casadas.</w:t>
      </w:r>
    </w:p>
  </w:footnote>
  <w:footnote w:id="7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 xml:space="preserve">Martínez </w:t>
      </w:r>
      <w:proofErr w:type="spellStart"/>
      <w:r w:rsidRPr="006730E3">
        <w:rPr>
          <w:rFonts w:ascii="Calibri" w:hAnsi="Calibri" w:cs="Times New Roman"/>
          <w:smallCaps/>
        </w:rPr>
        <w:t>Hens</w:t>
      </w:r>
      <w:proofErr w:type="spellEnd"/>
      <w:r w:rsidRPr="006730E3">
        <w:rPr>
          <w:rFonts w:ascii="Calibri" w:hAnsi="Calibri" w:cs="Times New Roman"/>
        </w:rPr>
        <w:t>, 2008</w:t>
      </w:r>
      <w:r>
        <w:rPr>
          <w:rFonts w:ascii="Calibri" w:hAnsi="Calibri" w:cs="Times New Roman"/>
        </w:rPr>
        <w:t>: 726-</w:t>
      </w:r>
      <w:r w:rsidRPr="006730E3">
        <w:rPr>
          <w:rFonts w:ascii="Calibri" w:hAnsi="Calibri" w:cs="Times New Roman"/>
        </w:rPr>
        <w:t>727.</w:t>
      </w:r>
    </w:p>
  </w:footnote>
  <w:footnote w:id="7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201.</w:t>
      </w:r>
    </w:p>
  </w:footnote>
  <w:footnote w:id="8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Vid. supra</w:t>
      </w:r>
      <w:r w:rsidRPr="006730E3">
        <w:rPr>
          <w:rFonts w:ascii="Calibri" w:hAnsi="Calibri" w:cs="Times New Roman"/>
        </w:rPr>
        <w:t xml:space="preserve"> sub. 2.1.</w:t>
      </w:r>
    </w:p>
  </w:footnote>
  <w:footnote w:id="8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Calvo Vidal, Cantero Núñez, Sanmartín Losada</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1321. Aunque sus argumentos no convencen a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 708-</w:t>
      </w:r>
      <w:r w:rsidRPr="006730E3">
        <w:rPr>
          <w:rFonts w:ascii="Calibri" w:hAnsi="Calibri" w:cs="Times New Roman"/>
        </w:rPr>
        <w:t xml:space="preserve">709. También </w:t>
      </w:r>
      <w:r w:rsidRPr="006730E3">
        <w:rPr>
          <w:rFonts w:ascii="Calibri" w:hAnsi="Calibri" w:cs="Times New Roman"/>
          <w:smallCaps/>
        </w:rPr>
        <w:t>Hernández Ibáñez</w:t>
      </w:r>
      <w:r w:rsidRPr="006730E3">
        <w:rPr>
          <w:rFonts w:ascii="Calibri" w:hAnsi="Calibri" w:cs="Times New Roman"/>
        </w:rPr>
        <w:t>, 2008</w:t>
      </w:r>
      <w:r>
        <w:rPr>
          <w:rFonts w:ascii="Calibri" w:hAnsi="Calibri" w:cs="Times New Roman"/>
        </w:rPr>
        <w:t>:</w:t>
      </w:r>
      <w:r w:rsidRPr="006730E3">
        <w:rPr>
          <w:rFonts w:ascii="Calibri" w:hAnsi="Calibri" w:cs="Times New Roman"/>
        </w:rPr>
        <w:t xml:space="preserve"> 164, a pesar de sostener que en defecto de pacto el régimen económico de la pareja son los gananciales, señala que el precepto exige la escritura pública como requisito </w:t>
      </w:r>
      <w:r w:rsidRPr="006730E3">
        <w:rPr>
          <w:rFonts w:ascii="Calibri" w:hAnsi="Calibri" w:cs="Times New Roman"/>
          <w:i/>
        </w:rPr>
        <w:t xml:space="preserve">ad </w:t>
      </w:r>
      <w:proofErr w:type="spellStart"/>
      <w:r w:rsidRPr="006730E3">
        <w:rPr>
          <w:rFonts w:ascii="Calibri" w:hAnsi="Calibri" w:cs="Times New Roman"/>
          <w:i/>
        </w:rPr>
        <w:t>solemnitatem</w:t>
      </w:r>
      <w:proofErr w:type="spellEnd"/>
      <w:r w:rsidRPr="006730E3">
        <w:rPr>
          <w:rFonts w:ascii="Calibri" w:hAnsi="Calibri" w:cs="Times New Roman"/>
        </w:rPr>
        <w:t xml:space="preserve">. Sobre dicho debate doctrinal, </w:t>
      </w:r>
      <w:r w:rsidRPr="006730E3">
        <w:rPr>
          <w:rFonts w:ascii="Calibri" w:hAnsi="Calibri" w:cs="Times New Roman"/>
          <w:i/>
        </w:rPr>
        <w:t>vid.</w:t>
      </w:r>
      <w:r w:rsidRPr="006730E3">
        <w:rPr>
          <w:rFonts w:ascii="Calibri" w:hAnsi="Calibri" w:cs="Times New Roman"/>
        </w:rPr>
        <w:t xml:space="preserve"> </w:t>
      </w:r>
      <w:r w:rsidRPr="006730E3">
        <w:rPr>
          <w:rFonts w:ascii="Calibri" w:hAnsi="Calibri" w:cs="Times New Roman"/>
          <w:smallCaps/>
        </w:rPr>
        <w:t>Nieto Alonso</w:t>
      </w:r>
      <w:r w:rsidRPr="006730E3">
        <w:rPr>
          <w:rFonts w:ascii="Calibri" w:hAnsi="Calibri" w:cs="Times New Roman"/>
        </w:rPr>
        <w:t>, 2018</w:t>
      </w:r>
      <w:r>
        <w:rPr>
          <w:rFonts w:ascii="Calibri" w:hAnsi="Calibri" w:cs="Times New Roman"/>
        </w:rPr>
        <w:t>:</w:t>
      </w:r>
      <w:r w:rsidRPr="006730E3">
        <w:rPr>
          <w:rFonts w:ascii="Calibri" w:hAnsi="Calibri" w:cs="Times New Roman"/>
        </w:rPr>
        <w:t xml:space="preserve"> 34 a 39.</w:t>
      </w:r>
    </w:p>
  </w:footnote>
  <w:footnote w:id="8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70</w:t>
      </w:r>
      <w:r>
        <w:rPr>
          <w:rFonts w:ascii="Calibri" w:hAnsi="Calibri" w:cs="Times New Roman"/>
        </w:rPr>
        <w:t>8-</w:t>
      </w:r>
      <w:r w:rsidRPr="006730E3">
        <w:rPr>
          <w:rFonts w:ascii="Calibri" w:hAnsi="Calibri" w:cs="Times New Roman"/>
        </w:rPr>
        <w:t xml:space="preserve">709. </w:t>
      </w:r>
    </w:p>
  </w:footnote>
  <w:footnote w:id="8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proofErr w:type="spellStart"/>
      <w:r w:rsidRPr="006730E3">
        <w:rPr>
          <w:rFonts w:ascii="Calibri" w:hAnsi="Calibri" w:cs="Times New Roman"/>
          <w:smallCaps/>
        </w:rPr>
        <w:t>Bercovitz</w:t>
      </w:r>
      <w:proofErr w:type="spellEnd"/>
      <w:r w:rsidRPr="006730E3">
        <w:rPr>
          <w:rFonts w:ascii="Calibri" w:hAnsi="Calibri" w:cs="Times New Roman"/>
          <w:smallCaps/>
        </w:rPr>
        <w:t xml:space="preserve"> Rodríguez-Cano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 o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w:t>
      </w:r>
      <w:r w:rsidRPr="006730E3">
        <w:rPr>
          <w:rFonts w:ascii="Calibri" w:hAnsi="Calibri" w:cs="Times New Roman"/>
        </w:rPr>
        <w:t xml:space="preserve"> 586.</w:t>
      </w:r>
    </w:p>
  </w:footnote>
  <w:footnote w:id="8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Decreto 248/2007, do 20 de </w:t>
      </w:r>
      <w:proofErr w:type="spellStart"/>
      <w:r w:rsidRPr="006730E3">
        <w:rPr>
          <w:rFonts w:ascii="Calibri" w:hAnsi="Calibri" w:cs="Times New Roman"/>
        </w:rPr>
        <w:t>decembro</w:t>
      </w:r>
      <w:proofErr w:type="spellEnd"/>
      <w:r w:rsidRPr="006730E3">
        <w:rPr>
          <w:rFonts w:ascii="Calibri" w:hAnsi="Calibri" w:cs="Times New Roman"/>
        </w:rPr>
        <w:t xml:space="preserve">, polo que se crea e se regula o </w:t>
      </w:r>
      <w:proofErr w:type="spellStart"/>
      <w:r w:rsidRPr="006730E3">
        <w:rPr>
          <w:rFonts w:ascii="Calibri" w:hAnsi="Calibri" w:cs="Times New Roman"/>
        </w:rPr>
        <w:t>Rexistro</w:t>
      </w:r>
      <w:proofErr w:type="spellEnd"/>
      <w:r w:rsidRPr="006730E3">
        <w:rPr>
          <w:rFonts w:ascii="Calibri" w:hAnsi="Calibri" w:cs="Times New Roman"/>
        </w:rPr>
        <w:t xml:space="preserve"> de parellas de </w:t>
      </w:r>
      <w:proofErr w:type="spellStart"/>
      <w:r w:rsidRPr="006730E3">
        <w:rPr>
          <w:rFonts w:ascii="Calibri" w:hAnsi="Calibri" w:cs="Times New Roman"/>
        </w:rPr>
        <w:t>feito</w:t>
      </w:r>
      <w:proofErr w:type="spellEnd"/>
      <w:r w:rsidRPr="006730E3">
        <w:rPr>
          <w:rFonts w:ascii="Calibri" w:hAnsi="Calibri" w:cs="Times New Roman"/>
        </w:rPr>
        <w:t xml:space="preserve"> de Galicia.</w:t>
      </w:r>
    </w:p>
  </w:footnote>
  <w:footnote w:id="8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Criterio de </w:t>
      </w:r>
      <w:proofErr w:type="spellStart"/>
      <w:r w:rsidRPr="006730E3">
        <w:rPr>
          <w:rFonts w:ascii="Calibri" w:hAnsi="Calibri" w:cs="Times New Roman"/>
          <w:smallCaps/>
        </w:rPr>
        <w:t>Bercovitz</w:t>
      </w:r>
      <w:proofErr w:type="spellEnd"/>
      <w:r w:rsidRPr="006730E3">
        <w:rPr>
          <w:rFonts w:ascii="Calibri" w:hAnsi="Calibri" w:cs="Times New Roman"/>
          <w:smallCaps/>
        </w:rPr>
        <w:t xml:space="preserve"> Rodríguez-Cano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w:t>
      </w:r>
    </w:p>
  </w:footnote>
  <w:footnote w:id="8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Calvo Vidal, Cantero Núñez, Sanmartín Losada</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1284, 1285 y 1333.</w:t>
      </w:r>
    </w:p>
  </w:footnote>
  <w:footnote w:id="8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Apreciación que </w:t>
      </w:r>
      <w:proofErr w:type="spellStart"/>
      <w:r w:rsidRPr="006730E3">
        <w:rPr>
          <w:rFonts w:ascii="Calibri" w:hAnsi="Calibri" w:cs="Times New Roman"/>
          <w:smallCaps/>
        </w:rPr>
        <w:t>Espiñeira</w:t>
      </w:r>
      <w:proofErr w:type="spellEnd"/>
      <w:r w:rsidRPr="006730E3">
        <w:rPr>
          <w:rFonts w:ascii="Calibri" w:hAnsi="Calibri" w:cs="Times New Roman"/>
          <w:smallCaps/>
        </w:rPr>
        <w:t xml:space="preserve"> Soto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9 extiende a todos los registros autonómicos de parejas de hecho.</w:t>
      </w:r>
    </w:p>
  </w:footnote>
  <w:footnote w:id="8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RTC 1983\71. </w:t>
      </w:r>
      <w:r w:rsidRPr="006730E3">
        <w:rPr>
          <w:rFonts w:ascii="Calibri" w:hAnsi="Calibri" w:cs="Times New Roman"/>
          <w:i/>
        </w:rPr>
        <w:t>Vid</w:t>
      </w:r>
      <w:r w:rsidRPr="006730E3">
        <w:rPr>
          <w:rFonts w:ascii="Calibri" w:hAnsi="Calibri" w:cs="Times New Roman"/>
        </w:rPr>
        <w:t>. FJ 2.</w:t>
      </w:r>
    </w:p>
  </w:footnote>
  <w:footnote w:id="89">
    <w:p w:rsidR="00B13CC8" w:rsidRPr="006730E3" w:rsidRDefault="00B13CC8" w:rsidP="006730E3">
      <w:pPr>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Doctrina repetida en las SSTC 154/1988, de 21 julio, FJ 4 (RTC 1988\154); 284/1993, de 30 septiembre, FJ 3 (RTC 1993\284); 103/1999, de 3 junio, FJ 3 (RTC 1999\103), la cual añade que «los registros a que dicha ordenación se refiere son exclusivamente los de carácter civil»; 134/2006, de 27 abril, FJ 8 (RTC 2006\134) y 67/2017, de 25 mayo, FJ 3 (RTC 2017\67).</w:t>
      </w:r>
    </w:p>
  </w:footnote>
  <w:footnote w:id="9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5. Sin embargo, no todos los magistrados suscriben esta opinión. </w:t>
      </w:r>
      <w:r w:rsidRPr="006730E3">
        <w:rPr>
          <w:rFonts w:ascii="Calibri" w:hAnsi="Calibri" w:cs="Times New Roman"/>
          <w:i/>
        </w:rPr>
        <w:t>Vid.</w:t>
      </w:r>
      <w:r w:rsidRPr="006730E3">
        <w:rPr>
          <w:rFonts w:ascii="Calibri" w:hAnsi="Calibri" w:cs="Times New Roman"/>
        </w:rPr>
        <w:t xml:space="preserve"> el voto particular formulado </w:t>
      </w:r>
      <w:r w:rsidRPr="006730E3">
        <w:rPr>
          <w:rFonts w:ascii="Calibri" w:hAnsi="Calibri" w:cs="Times New Roman"/>
          <w:bCs/>
        </w:rPr>
        <w:t xml:space="preserve">por Manuel Aragón Reyes y al que se adhirió Andrés Ollero </w:t>
      </w:r>
      <w:proofErr w:type="spellStart"/>
      <w:r w:rsidRPr="006730E3">
        <w:rPr>
          <w:rFonts w:ascii="Calibri" w:hAnsi="Calibri" w:cs="Times New Roman"/>
          <w:bCs/>
        </w:rPr>
        <w:t>Tassara</w:t>
      </w:r>
      <w:proofErr w:type="spellEnd"/>
      <w:r w:rsidRPr="006730E3">
        <w:rPr>
          <w:rFonts w:ascii="Calibri" w:hAnsi="Calibri" w:cs="Times New Roman"/>
          <w:bCs/>
        </w:rPr>
        <w:t>.</w:t>
      </w:r>
    </w:p>
  </w:footnote>
  <w:footnote w:id="9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Las explica </w:t>
      </w:r>
      <w:r w:rsidRPr="006730E3">
        <w:rPr>
          <w:rFonts w:ascii="Calibri" w:hAnsi="Calibri" w:cs="Times New Roman"/>
          <w:smallCaps/>
        </w:rPr>
        <w:t>Leyva de Leyva</w:t>
      </w:r>
      <w:r w:rsidRPr="006730E3">
        <w:rPr>
          <w:rFonts w:ascii="Calibri" w:hAnsi="Calibri" w:cs="Times New Roman"/>
        </w:rPr>
        <w:t>, 1989</w:t>
      </w:r>
      <w:r>
        <w:rPr>
          <w:rFonts w:ascii="Calibri" w:hAnsi="Calibri" w:cs="Times New Roman"/>
        </w:rPr>
        <w:t>:</w:t>
      </w:r>
      <w:r w:rsidRPr="006730E3">
        <w:rPr>
          <w:rFonts w:ascii="Calibri" w:hAnsi="Calibri" w:cs="Times New Roman"/>
        </w:rPr>
        <w:t xml:space="preserve"> 270 a 307. </w:t>
      </w:r>
      <w:r w:rsidRPr="006730E3">
        <w:rPr>
          <w:rFonts w:ascii="Calibri" w:hAnsi="Calibri" w:cs="Times New Roman"/>
          <w:shd w:val="clear" w:color="auto" w:fill="FFFFFF"/>
        </w:rPr>
        <w:t xml:space="preserve">Según el autor, los registros administrativos se caracterizan por las siguientes notas: dependen directamente de la Administración, tienen una eficacia débil pues su función no es ofrecer certeza ni seguridad, realizan únicamente una actividad de comprobación del hecho o relación que se inscribe y de verdadera calificación, los principios jurídico-registrales son desconocidos por este tipo de registros o tienen escasa importancia y, finalmente, la inscripción tiene naturaleza de acto administrativo y no de acto jurídico. Al contrario, los registros jurídicos tienen como finalidad robustecer la seguridad jurídica. Así, tienen como rasgo característico la autenticidad, para lo cual se requiere la certeza, validez y constancia indubitada del derecho material o sustantivo que se inscribe. En consecuencia, es necesaria la calificación jurídica de dicho derecho con carácter previo a su inscripción, a modo de control de su legalidad. Del mismo modo, su publicidad es sustantiva y no meramente informativa, de forma que otorga vida legal </w:t>
      </w:r>
      <w:r w:rsidRPr="006730E3">
        <w:rPr>
          <w:rFonts w:ascii="Calibri" w:hAnsi="Calibri" w:cs="Times New Roman"/>
          <w:i/>
          <w:shd w:val="clear" w:color="auto" w:fill="FFFFFF"/>
        </w:rPr>
        <w:t>ad extra</w:t>
      </w:r>
      <w:r w:rsidRPr="006730E3">
        <w:rPr>
          <w:rFonts w:ascii="Calibri" w:hAnsi="Calibri" w:cs="Times New Roman"/>
          <w:shd w:val="clear" w:color="auto" w:fill="FFFFFF"/>
        </w:rPr>
        <w:t xml:space="preserve"> de lo inscrito marcando los derechos y obligaciones de los terceros. Finalmente, el encargado del registro no es un funcionario administrativo, sino que actúa con independencia, aproximándose al profesional liberal, si bien tampoco cabe identificarlo plenamente con éste, por la eficacia pública de su actividad.</w:t>
      </w:r>
    </w:p>
  </w:footnote>
  <w:footnote w:id="9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Cfr</w:t>
      </w:r>
      <w:r w:rsidRPr="006730E3">
        <w:rPr>
          <w:rFonts w:ascii="Calibri" w:hAnsi="Calibri" w:cs="Times New Roman"/>
        </w:rPr>
        <w:t>. arts. 8.3b) y 10 del Real Decreto 1044/2018, de 24 de agosto, por el que se desarrolla la estructura orgánica básica del Ministerio de Justicia y se modifica el Real Decreto 595/2018, de 22 de junio, por el que se establece la estructura orgánica básica de los Departamentos Ministeriales. También el art. 2 LRC.</w:t>
      </w:r>
    </w:p>
  </w:footnote>
  <w:footnote w:id="9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Bien es cierto que podría ser objeto de controversia si el legislador gallego tiene o no competencias para regular en el ámbito civil la realidad de las parejas no casadas, teniendo en cuenta cómo utiliza el TC el criterio de la «conexión suficiente». </w:t>
      </w:r>
      <w:r w:rsidRPr="006730E3">
        <w:rPr>
          <w:rFonts w:ascii="Calibri" w:hAnsi="Calibri" w:cs="Times New Roman"/>
          <w:i/>
        </w:rPr>
        <w:t>Cfr</w:t>
      </w:r>
      <w:r w:rsidRPr="006730E3">
        <w:rPr>
          <w:rFonts w:ascii="Calibri" w:hAnsi="Calibri" w:cs="Times New Roman"/>
        </w:rPr>
        <w:t>. nota al pie de página 75. Ello, no obstante, no es el propósito de este trabajo.</w:t>
      </w:r>
    </w:p>
  </w:footnote>
  <w:footnote w:id="9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664 y 682.</w:t>
      </w:r>
    </w:p>
  </w:footnote>
  <w:footnote w:id="95">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w:t>
      </w:r>
      <w:r w:rsidRPr="006730E3">
        <w:rPr>
          <w:rFonts w:ascii="Calibri" w:hAnsi="Calibri" w:cs="Times New Roman"/>
          <w:smallCaps/>
          <w:sz w:val="20"/>
          <w:szCs w:val="20"/>
        </w:rPr>
        <w:t>García Rubio</w:t>
      </w:r>
      <w:r w:rsidRPr="006730E3">
        <w:rPr>
          <w:rFonts w:ascii="Calibri" w:hAnsi="Calibri" w:cs="Times New Roman"/>
          <w:sz w:val="20"/>
          <w:szCs w:val="20"/>
        </w:rPr>
        <w:t>, 2007</w:t>
      </w:r>
      <w:r>
        <w:rPr>
          <w:rFonts w:ascii="Calibri" w:hAnsi="Calibri" w:cs="Times New Roman"/>
          <w:sz w:val="20"/>
          <w:szCs w:val="20"/>
        </w:rPr>
        <w:t>:</w:t>
      </w:r>
      <w:r w:rsidRPr="006730E3">
        <w:rPr>
          <w:rFonts w:ascii="Calibri" w:hAnsi="Calibri" w:cs="Times New Roman"/>
          <w:sz w:val="20"/>
          <w:szCs w:val="20"/>
        </w:rPr>
        <w:t xml:space="preserve"> 205. Por su parte, el ATJS Galicia de 30, de junio de 2010, FJ 4 (RJ\2010\8701) habla de estado civil cuasi matrimonial.</w:t>
      </w:r>
    </w:p>
  </w:footnote>
  <w:footnote w:id="9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664.</w:t>
      </w:r>
    </w:p>
  </w:footnote>
  <w:footnote w:id="9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 596-</w:t>
      </w:r>
      <w:r w:rsidRPr="006730E3">
        <w:rPr>
          <w:rFonts w:ascii="Calibri" w:hAnsi="Calibri" w:cs="Times New Roman"/>
        </w:rPr>
        <w:t>597 en cuya opinión, se constituye «algo que si no es propiamente un estado civil, sí es muy próximo a ello».</w:t>
      </w:r>
    </w:p>
  </w:footnote>
  <w:footnote w:id="98">
    <w:p w:rsidR="00B13CC8" w:rsidRPr="006730E3" w:rsidRDefault="00B13CC8" w:rsidP="006730E3">
      <w:pPr>
        <w:widowControl w:val="0"/>
        <w:suppressAutoHyphens/>
        <w:autoSpaceDE w:val="0"/>
        <w:autoSpaceDN w:val="0"/>
        <w:adjustRightInd w:val="0"/>
        <w:spacing w:after="0" w:line="240" w:lineRule="auto"/>
        <w:jc w:val="both"/>
        <w:rPr>
          <w:rFonts w:ascii="Calibri" w:hAnsi="Calibri" w:cs="Times New Roman"/>
          <w:sz w:val="20"/>
          <w:szCs w:val="20"/>
        </w:rPr>
      </w:pPr>
      <w:r w:rsidRPr="006730E3">
        <w:rPr>
          <w:rStyle w:val="Refdenotaalpie"/>
          <w:rFonts w:ascii="Calibri" w:hAnsi="Calibri" w:cs="Times New Roman"/>
          <w:sz w:val="20"/>
          <w:szCs w:val="20"/>
        </w:rPr>
        <w:footnoteRef/>
      </w:r>
      <w:r w:rsidRPr="006730E3">
        <w:rPr>
          <w:rFonts w:ascii="Calibri" w:hAnsi="Calibri" w:cs="Times New Roman"/>
          <w:sz w:val="20"/>
          <w:szCs w:val="20"/>
        </w:rPr>
        <w:t xml:space="preserve"> JUR\2013\335735. </w:t>
      </w:r>
      <w:r w:rsidRPr="006730E3">
        <w:rPr>
          <w:rFonts w:ascii="Calibri" w:hAnsi="Calibri" w:cs="Times New Roman"/>
          <w:i/>
          <w:sz w:val="20"/>
          <w:szCs w:val="20"/>
        </w:rPr>
        <w:t>Vid</w:t>
      </w:r>
      <w:r w:rsidRPr="006730E3">
        <w:rPr>
          <w:rFonts w:ascii="Calibri" w:hAnsi="Calibri" w:cs="Times New Roman"/>
          <w:sz w:val="20"/>
          <w:szCs w:val="20"/>
        </w:rPr>
        <w:t xml:space="preserve">. el FJ 2. Se trata de un pronunciamiento </w:t>
      </w:r>
      <w:proofErr w:type="spellStart"/>
      <w:r w:rsidRPr="006730E3">
        <w:rPr>
          <w:rFonts w:ascii="Calibri" w:hAnsi="Calibri" w:cs="Times New Roman"/>
          <w:i/>
          <w:sz w:val="20"/>
          <w:szCs w:val="20"/>
        </w:rPr>
        <w:t>obiter</w:t>
      </w:r>
      <w:proofErr w:type="spellEnd"/>
      <w:r w:rsidRPr="006730E3">
        <w:rPr>
          <w:rFonts w:ascii="Calibri" w:hAnsi="Calibri" w:cs="Times New Roman"/>
          <w:i/>
          <w:sz w:val="20"/>
          <w:szCs w:val="20"/>
        </w:rPr>
        <w:t xml:space="preserve"> </w:t>
      </w:r>
      <w:proofErr w:type="spellStart"/>
      <w:r w:rsidRPr="006730E3">
        <w:rPr>
          <w:rFonts w:ascii="Calibri" w:hAnsi="Calibri" w:cs="Times New Roman"/>
          <w:i/>
          <w:sz w:val="20"/>
          <w:szCs w:val="20"/>
        </w:rPr>
        <w:t>dictum</w:t>
      </w:r>
      <w:proofErr w:type="spellEnd"/>
      <w:r w:rsidRPr="006730E3">
        <w:rPr>
          <w:rFonts w:ascii="Calibri" w:hAnsi="Calibri" w:cs="Times New Roman"/>
          <w:sz w:val="20"/>
          <w:szCs w:val="20"/>
        </w:rPr>
        <w:t>.</w:t>
      </w:r>
    </w:p>
  </w:footnote>
  <w:footnote w:id="9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hd w:val="clear" w:color="auto" w:fill="FFFFFF"/>
        </w:rPr>
        <w:t xml:space="preserve">Además, conviene resaltar la exactitud de sus reflexiones en cuanto pone el acento en los efectos que produce el citado registro y no en su naturaleza administrativa o civil. </w:t>
      </w:r>
      <w:r w:rsidRPr="006730E3">
        <w:rPr>
          <w:rFonts w:ascii="Calibri" w:hAnsi="Calibri" w:cs="Times New Roman"/>
        </w:rPr>
        <w:t xml:space="preserve"> </w:t>
      </w:r>
    </w:p>
  </w:footnote>
  <w:footnote w:id="10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Reflexiones en este sentido en </w:t>
      </w:r>
      <w:r w:rsidRPr="006730E3">
        <w:rPr>
          <w:rFonts w:ascii="Calibri" w:hAnsi="Calibri" w:cs="Times New Roman"/>
          <w:smallCaps/>
        </w:rPr>
        <w:t>Mesa Marrero</w:t>
      </w:r>
      <w:r w:rsidRPr="006730E3">
        <w:rPr>
          <w:rFonts w:ascii="Calibri" w:hAnsi="Calibri" w:cs="Times New Roman"/>
        </w:rPr>
        <w:t>, 2017</w:t>
      </w:r>
      <w:r>
        <w:rPr>
          <w:rFonts w:ascii="Calibri" w:hAnsi="Calibri" w:cs="Times New Roman"/>
        </w:rPr>
        <w:t>:</w:t>
      </w:r>
      <w:r w:rsidRPr="006730E3">
        <w:rPr>
          <w:rFonts w:ascii="Calibri" w:hAnsi="Calibri" w:cs="Times New Roman"/>
        </w:rPr>
        <w:t xml:space="preserve"> 280, si bien se mueven conforme a la distinción entre registros de naturaleza civil y administrativa.</w:t>
      </w:r>
    </w:p>
  </w:footnote>
  <w:footnote w:id="10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 xml:space="preserve">Cantero Núñez, </w:t>
      </w:r>
      <w:proofErr w:type="spellStart"/>
      <w:r w:rsidRPr="006730E3">
        <w:rPr>
          <w:rFonts w:ascii="Calibri" w:hAnsi="Calibri" w:cs="Times New Roman"/>
          <w:smallCaps/>
        </w:rPr>
        <w:t>Legerén</w:t>
      </w:r>
      <w:proofErr w:type="spellEnd"/>
      <w:r w:rsidRPr="006730E3">
        <w:rPr>
          <w:rFonts w:ascii="Calibri" w:hAnsi="Calibri" w:cs="Times New Roman"/>
          <w:smallCaps/>
        </w:rPr>
        <w:t>-Molina</w:t>
      </w:r>
      <w:r w:rsidRPr="006730E3">
        <w:rPr>
          <w:rFonts w:ascii="Calibri" w:hAnsi="Calibri" w:cs="Times New Roman"/>
        </w:rPr>
        <w:t>, 2018</w:t>
      </w:r>
      <w:r>
        <w:rPr>
          <w:rFonts w:ascii="Calibri" w:hAnsi="Calibri" w:cs="Times New Roman"/>
        </w:rPr>
        <w:t>: 198-</w:t>
      </w:r>
      <w:r w:rsidRPr="006730E3">
        <w:rPr>
          <w:rFonts w:ascii="Calibri" w:hAnsi="Calibri" w:cs="Times New Roman"/>
        </w:rPr>
        <w:t>199.</w:t>
      </w:r>
    </w:p>
  </w:footnote>
  <w:footnote w:id="10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Aunque esta es la opinión, por ejemplo, de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664.</w:t>
      </w:r>
    </w:p>
  </w:footnote>
  <w:footnote w:id="10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w:t>
      </w:r>
      <w:r w:rsidRPr="006730E3">
        <w:rPr>
          <w:rFonts w:ascii="Calibri" w:hAnsi="Calibri" w:cs="Times New Roman"/>
        </w:rPr>
        <w:t xml:space="preserve"> 595, aunque su discurso se construye en torno a la naturaleza de estos registro de parejas de hecho.</w:t>
      </w:r>
    </w:p>
  </w:footnote>
  <w:footnote w:id="10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205;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664;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w:t>
      </w:r>
      <w:r w:rsidRPr="006730E3">
        <w:rPr>
          <w:rFonts w:ascii="Calibri" w:hAnsi="Calibri" w:cs="Times New Roman"/>
        </w:rPr>
        <w:t xml:space="preserve"> 593, 596 y 598; </w:t>
      </w:r>
      <w:r w:rsidRPr="006730E3">
        <w:rPr>
          <w:rFonts w:ascii="Calibri" w:hAnsi="Calibri" w:cs="Times New Roman"/>
          <w:smallCaps/>
        </w:rPr>
        <w:t>Mesa Marrero</w:t>
      </w:r>
      <w:r w:rsidRPr="006730E3">
        <w:rPr>
          <w:rFonts w:ascii="Calibri" w:hAnsi="Calibri" w:cs="Times New Roman"/>
        </w:rPr>
        <w:t>, 2017</w:t>
      </w:r>
      <w:r>
        <w:rPr>
          <w:rFonts w:ascii="Calibri" w:hAnsi="Calibri" w:cs="Times New Roman"/>
        </w:rPr>
        <w:t>: 279-</w:t>
      </w:r>
      <w:r w:rsidRPr="006730E3">
        <w:rPr>
          <w:rFonts w:ascii="Calibri" w:hAnsi="Calibri" w:cs="Times New Roman"/>
        </w:rPr>
        <w:t xml:space="preserve">280 o </w:t>
      </w:r>
      <w:r w:rsidRPr="006730E3">
        <w:rPr>
          <w:rFonts w:ascii="Calibri" w:hAnsi="Calibri" w:cs="Times New Roman"/>
          <w:smallCaps/>
        </w:rPr>
        <w:t>Nieto Alonso</w:t>
      </w:r>
      <w:r w:rsidRPr="006730E3">
        <w:rPr>
          <w:rFonts w:ascii="Calibri" w:hAnsi="Calibri" w:cs="Times New Roman"/>
        </w:rPr>
        <w:t>, 2018</w:t>
      </w:r>
      <w:r>
        <w:rPr>
          <w:rFonts w:ascii="Calibri" w:hAnsi="Calibri" w:cs="Times New Roman"/>
        </w:rPr>
        <w:t>:</w:t>
      </w:r>
      <w:r w:rsidRPr="006730E3">
        <w:rPr>
          <w:rFonts w:ascii="Calibri" w:hAnsi="Calibri" w:cs="Times New Roman"/>
        </w:rPr>
        <w:t xml:space="preserve"> 25. Con carácter general, respecto de los registros de parejas constitutivos, </w:t>
      </w:r>
      <w:r w:rsidRPr="006730E3">
        <w:rPr>
          <w:rFonts w:ascii="Calibri" w:hAnsi="Calibri" w:cs="Times New Roman"/>
          <w:smallCaps/>
        </w:rPr>
        <w:t>Espada Mallorquín</w:t>
      </w:r>
      <w:r w:rsidRPr="006730E3">
        <w:rPr>
          <w:rFonts w:ascii="Calibri" w:hAnsi="Calibri" w:cs="Times New Roman"/>
        </w:rPr>
        <w:t>, 2007</w:t>
      </w:r>
      <w:r>
        <w:rPr>
          <w:rFonts w:ascii="Calibri" w:hAnsi="Calibri" w:cs="Times New Roman"/>
        </w:rPr>
        <w:t>: 141-</w:t>
      </w:r>
      <w:r w:rsidRPr="006730E3">
        <w:rPr>
          <w:rFonts w:ascii="Calibri" w:hAnsi="Calibri" w:cs="Times New Roman"/>
        </w:rPr>
        <w:t xml:space="preserve">142 o </w:t>
      </w:r>
      <w:r w:rsidRPr="006730E3">
        <w:rPr>
          <w:rFonts w:ascii="Calibri" w:hAnsi="Calibri" w:cs="Times New Roman"/>
          <w:smallCaps/>
        </w:rPr>
        <w:t xml:space="preserve">Cantero Núñez, </w:t>
      </w:r>
      <w:proofErr w:type="spellStart"/>
      <w:r w:rsidRPr="006730E3">
        <w:rPr>
          <w:rFonts w:ascii="Calibri" w:hAnsi="Calibri" w:cs="Times New Roman"/>
          <w:smallCaps/>
        </w:rPr>
        <w:t>Legerén</w:t>
      </w:r>
      <w:proofErr w:type="spellEnd"/>
      <w:r w:rsidRPr="006730E3">
        <w:rPr>
          <w:rFonts w:ascii="Calibri" w:hAnsi="Calibri" w:cs="Times New Roman"/>
          <w:smallCaps/>
        </w:rPr>
        <w:t>-Molina</w:t>
      </w:r>
      <w:r w:rsidRPr="006730E3">
        <w:rPr>
          <w:rFonts w:ascii="Calibri" w:hAnsi="Calibri" w:cs="Times New Roman"/>
        </w:rPr>
        <w:t>, 2018</w:t>
      </w:r>
      <w:r>
        <w:rPr>
          <w:rFonts w:ascii="Calibri" w:hAnsi="Calibri" w:cs="Times New Roman"/>
        </w:rPr>
        <w:t>:</w:t>
      </w:r>
      <w:r w:rsidRPr="006730E3">
        <w:rPr>
          <w:rFonts w:ascii="Calibri" w:hAnsi="Calibri" w:cs="Times New Roman"/>
        </w:rPr>
        <w:t xml:space="preserve"> 198.</w:t>
      </w:r>
    </w:p>
  </w:footnote>
  <w:footnote w:id="10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Cfr</w:t>
      </w:r>
      <w:r w:rsidRPr="006730E3">
        <w:rPr>
          <w:rFonts w:ascii="Calibri" w:hAnsi="Calibri" w:cs="Times New Roman"/>
        </w:rPr>
        <w:t>. el FJ 6 de la STC 93/2013 según el cual, «con la utilización del criterio de la vecindad civil y al constituir ésta el punto de conexión para la determinación del estatuto personal, es claro que se viene a incidir sobre las “normas para resolver los conflictos de leyes”. Determinar cuál es la ley personal aplicable en los conflictos interregionales derivados de la potencial concurrencia de legislaciones diversas en la regulación de una situación, es una materia que se sitúa extramuros de las competencias autonómicas en tanto que la Constitución ha optado por que sea al Estado al que corresponda, en su caso, el establecimiento de las normas de conflicto en estos supuestos».</w:t>
      </w:r>
    </w:p>
  </w:footnote>
  <w:footnote w:id="10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Los pone de manifiesto </w:t>
      </w:r>
      <w:r w:rsidRPr="006730E3">
        <w:rPr>
          <w:rFonts w:ascii="Calibri" w:hAnsi="Calibri" w:cs="Times New Roman"/>
          <w:smallCaps/>
        </w:rPr>
        <w:t>Álvarez González</w:t>
      </w:r>
      <w:r w:rsidRPr="006730E3">
        <w:rPr>
          <w:rFonts w:ascii="Calibri" w:hAnsi="Calibri" w:cs="Times New Roman"/>
        </w:rPr>
        <w:t xml:space="preserve">, 2002, </w:t>
      </w:r>
      <w:proofErr w:type="spellStart"/>
      <w:r w:rsidRPr="006730E3">
        <w:rPr>
          <w:rFonts w:ascii="Calibri" w:hAnsi="Calibri" w:cs="Times New Roman"/>
          <w:i/>
        </w:rPr>
        <w:t>passim</w:t>
      </w:r>
      <w:proofErr w:type="spellEnd"/>
      <w:r>
        <w:rPr>
          <w:rFonts w:ascii="Calibri" w:hAnsi="Calibri" w:cs="Times New Roman"/>
        </w:rPr>
        <w:t>, particularmente pp. 1802-</w:t>
      </w:r>
      <w:r w:rsidRPr="006730E3">
        <w:rPr>
          <w:rFonts w:ascii="Calibri" w:hAnsi="Calibri" w:cs="Times New Roman"/>
        </w:rPr>
        <w:t>1803.</w:t>
      </w:r>
    </w:p>
  </w:footnote>
  <w:footnote w:id="10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2012</w:t>
      </w:r>
      <w:r>
        <w:rPr>
          <w:rFonts w:ascii="Calibri" w:hAnsi="Calibri" w:cs="Times New Roman"/>
        </w:rPr>
        <w:t>:</w:t>
      </w:r>
      <w:r w:rsidRPr="006730E3">
        <w:rPr>
          <w:rFonts w:ascii="Calibri" w:hAnsi="Calibri" w:cs="Times New Roman"/>
        </w:rPr>
        <w:t xml:space="preserve"> 1505.</w:t>
      </w:r>
    </w:p>
  </w:footnote>
  <w:footnote w:id="10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Según el art. 27 del Decreto 155/2017, de 16 de mayo, por el que se aprueba el Reglamento regulador del Registro de Parejas de Hecho de la Comunidad Autónoma del País Vasco, una persona distinta de las que componen la pareja que quiera solicitar una certificación de los actos y hechos o de cualesquiera otras circunstancias o extremos que afecten al contenido de la relación de las parejas de hecho inscrita, «deberá acreditar documentalmente la titularidad de un interés legítimo».</w:t>
      </w:r>
    </w:p>
  </w:footnote>
  <w:footnote w:id="109">
    <w:p w:rsidR="00B13CC8" w:rsidRPr="006730E3" w:rsidRDefault="00B13CC8" w:rsidP="006730E3">
      <w:pPr>
        <w:pStyle w:val="Ttulo3"/>
        <w:shd w:val="clear" w:color="auto" w:fill="FFFFFF"/>
        <w:spacing w:before="0" w:beforeAutospacing="0" w:after="0" w:afterAutospacing="0"/>
        <w:jc w:val="both"/>
        <w:rPr>
          <w:rFonts w:ascii="Calibri" w:hAnsi="Calibri"/>
          <w:b w:val="0"/>
          <w:sz w:val="20"/>
          <w:szCs w:val="20"/>
        </w:rPr>
      </w:pPr>
      <w:r w:rsidRPr="006730E3">
        <w:rPr>
          <w:rStyle w:val="Refdenotaalpie"/>
          <w:rFonts w:ascii="Calibri" w:hAnsi="Calibri"/>
          <w:b w:val="0"/>
          <w:sz w:val="20"/>
          <w:szCs w:val="20"/>
        </w:rPr>
        <w:footnoteRef/>
      </w:r>
      <w:r w:rsidRPr="006730E3">
        <w:rPr>
          <w:rFonts w:ascii="Calibri" w:hAnsi="Calibri"/>
          <w:b w:val="0"/>
          <w:sz w:val="20"/>
          <w:szCs w:val="20"/>
        </w:rPr>
        <w:t xml:space="preserve"> </w:t>
      </w:r>
      <w:r w:rsidRPr="006730E3">
        <w:rPr>
          <w:rFonts w:ascii="Calibri" w:hAnsi="Calibri"/>
          <w:b w:val="0"/>
          <w:i/>
          <w:sz w:val="20"/>
          <w:szCs w:val="20"/>
        </w:rPr>
        <w:t>Cfr</w:t>
      </w:r>
      <w:r w:rsidRPr="006730E3">
        <w:rPr>
          <w:rFonts w:ascii="Calibri" w:hAnsi="Calibri"/>
          <w:b w:val="0"/>
          <w:sz w:val="20"/>
          <w:szCs w:val="20"/>
        </w:rPr>
        <w:t xml:space="preserve">. art. 6 del Decreto 71/1994, de 29 de septiembre, por el que se crea el Registro de Uniones de Hecho en el Principado de Asturias; art. 5 del Decreto 35/1997, de 18 de marzo, de creación del Registro de uniones de hecho en Extremadura; art. 6.2 del Decreto 203/1999, de 2 de noviembre, del Gobierno de Aragón, por el que se regula la creación y el régimen de funcionamiento del Registro Administrativo de parejas estables no casadas; art. 10.2 del Reglamento de desarrollo de la Ley 1/2001, de 6 de abril, de la Generalitat Valenciana, por la que se regulan las uniones de hecho, aprobado por el Decreto 61/2002, de 23 de abril, del Gobierno Valenciano; art. 17 del </w:t>
      </w:r>
      <w:r w:rsidRPr="006730E3">
        <w:rPr>
          <w:rFonts w:ascii="Calibri" w:hAnsi="Calibri"/>
          <w:b w:val="0"/>
          <w:iCs/>
          <w:sz w:val="20"/>
          <w:szCs w:val="20"/>
          <w:shd w:val="clear" w:color="auto" w:fill="FFFFFF"/>
        </w:rPr>
        <w:t>Decreto 134/2002, de 18 de julio, por el que se aprueba el Reglamento del Registro de Uniones de Hecho de la Comunidad de Madrid;</w:t>
      </w:r>
      <w:r w:rsidRPr="006730E3">
        <w:rPr>
          <w:rFonts w:ascii="Calibri" w:hAnsi="Calibri"/>
          <w:b w:val="0"/>
          <w:sz w:val="20"/>
          <w:szCs w:val="20"/>
        </w:rPr>
        <w:t xml:space="preserve"> art. 5.2 del Decreto 112/2002, de 30 de agosto, mediante el cual se crea un Registro de Parejas Estables de las Illes Balears y se regula su organización y gestión; art. 6.2 del Decreto 117/2002, de 24 de octubre, por el que se crea el Registro de Uniones de Hecho de Castilla y León y se regula su funcionamiento</w:t>
      </w:r>
      <w:r w:rsidRPr="006730E3">
        <w:rPr>
          <w:rFonts w:ascii="Calibri" w:hAnsi="Calibri"/>
          <w:b w:val="0"/>
          <w:spacing w:val="-15"/>
          <w:sz w:val="20"/>
          <w:szCs w:val="20"/>
        </w:rPr>
        <w:t xml:space="preserve">; </w:t>
      </w:r>
      <w:r w:rsidRPr="006730E3">
        <w:rPr>
          <w:rFonts w:ascii="Calibri" w:hAnsi="Calibri"/>
          <w:b w:val="0"/>
          <w:sz w:val="20"/>
          <w:szCs w:val="20"/>
        </w:rPr>
        <w:t xml:space="preserve">art. 3.2 del Decreto 60/2004, de 19 de mayo, por el que se aprueba el Reglamento del Registro de Parejas de Hecho en la Comunidad Autónoma de Canarias; art. 16.2 del Decreto 35/2005, de 15 de febrero, de la Junta de Andalucía por el que se constituye y regula el Registro de Parejas de Hecho; art. 30.1 del Decreto 55/2006 de 18 de mayo, por el que se regula la estructura y funcionamiento del Registro de Parejas de Hecho de la Comunidad Autónoma de Cantabria; art. 12.2. </w:t>
      </w:r>
      <w:proofErr w:type="gramStart"/>
      <w:r w:rsidRPr="006730E3">
        <w:rPr>
          <w:rFonts w:ascii="Calibri" w:hAnsi="Calibri"/>
          <w:b w:val="0"/>
          <w:sz w:val="20"/>
          <w:szCs w:val="20"/>
        </w:rPr>
        <w:t>de</w:t>
      </w:r>
      <w:proofErr w:type="gramEnd"/>
      <w:r w:rsidRPr="006730E3">
        <w:rPr>
          <w:rFonts w:ascii="Calibri" w:hAnsi="Calibri"/>
          <w:b w:val="0"/>
          <w:sz w:val="20"/>
          <w:szCs w:val="20"/>
        </w:rPr>
        <w:t xml:space="preserve"> la </w:t>
      </w:r>
      <w:hyperlink r:id="rId1" w:history="1">
        <w:r w:rsidRPr="006730E3">
          <w:rPr>
            <w:rStyle w:val="Hipervnculo"/>
            <w:rFonts w:ascii="Calibri" w:hAnsi="Calibri"/>
            <w:b w:val="0"/>
            <w:color w:val="auto"/>
            <w:sz w:val="20"/>
            <w:szCs w:val="20"/>
            <w:u w:val="none"/>
            <w:shd w:val="clear" w:color="auto" w:fill="FFFFFF"/>
          </w:rPr>
          <w:t>Orden JUS/44/2017, de 28 de marzo, por la que se aprueba el Reglamento del Registro de parejas estables de Cataluña</w:t>
        </w:r>
      </w:hyperlink>
      <w:r w:rsidRPr="006730E3">
        <w:rPr>
          <w:rStyle w:val="Hipervnculo"/>
          <w:rFonts w:ascii="Calibri" w:hAnsi="Calibri"/>
          <w:b w:val="0"/>
          <w:color w:val="auto"/>
          <w:sz w:val="20"/>
          <w:szCs w:val="20"/>
          <w:u w:val="none"/>
          <w:shd w:val="clear" w:color="auto" w:fill="FFFFFF"/>
        </w:rPr>
        <w:t>.</w:t>
      </w:r>
    </w:p>
  </w:footnote>
  <w:footnote w:id="11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Referencia que, con las actuales modificaciones legislativas, debe entenderse realizada al art. 13.I.d) de la Ley 39/2015, de 1 de octubre, del Procedimiento Administrativo Común de las Administraciones Públicas, el cual se remite a su vez a </w:t>
      </w:r>
      <w:r w:rsidRPr="006730E3">
        <w:rPr>
          <w:rFonts w:ascii="Calibri" w:hAnsi="Calibri" w:cs="Times New Roman"/>
          <w:shd w:val="clear" w:color="auto" w:fill="FFFFFF"/>
        </w:rPr>
        <w:t>lo previsto en la Ley 19/2013, de 9 de diciembre, de transparencia, acceso a la información pública y buen gobierno (</w:t>
      </w:r>
      <w:r w:rsidRPr="006730E3">
        <w:rPr>
          <w:rFonts w:ascii="Calibri" w:hAnsi="Calibri" w:cs="Times New Roman"/>
          <w:i/>
          <w:shd w:val="clear" w:color="auto" w:fill="FFFFFF"/>
        </w:rPr>
        <w:t>vid</w:t>
      </w:r>
      <w:r w:rsidRPr="006730E3">
        <w:rPr>
          <w:rFonts w:ascii="Calibri" w:hAnsi="Calibri" w:cs="Times New Roman"/>
          <w:shd w:val="clear" w:color="auto" w:fill="FFFFFF"/>
        </w:rPr>
        <w:t>. particularmente el Capítulo III del Título I de esta última ley).</w:t>
      </w:r>
    </w:p>
  </w:footnote>
  <w:footnote w:id="11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La traducción es nuestra.</w:t>
      </w:r>
    </w:p>
  </w:footnote>
  <w:footnote w:id="11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i/>
        </w:rPr>
        <w:t>Vid</w:t>
      </w:r>
      <w:r w:rsidRPr="006730E3">
        <w:rPr>
          <w:rFonts w:ascii="Calibri" w:hAnsi="Calibri" w:cs="Times New Roman"/>
        </w:rPr>
        <w:t>. la RDGRN de 27 de febrero de 2018, FJ 4 (RJ\2018\813).</w:t>
      </w:r>
    </w:p>
  </w:footnote>
  <w:footnote w:id="11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Díaz Martínez</w:t>
      </w:r>
      <w:r>
        <w:rPr>
          <w:rFonts w:ascii="Calibri" w:hAnsi="Calibri" w:cs="Times New Roman"/>
        </w:rPr>
        <w:t>: 593-</w:t>
      </w:r>
      <w:r w:rsidRPr="006730E3">
        <w:rPr>
          <w:rFonts w:ascii="Calibri" w:hAnsi="Calibri" w:cs="Times New Roman"/>
        </w:rPr>
        <w:t>595.</w:t>
      </w:r>
    </w:p>
  </w:footnote>
  <w:footnote w:id="11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3.</w:t>
      </w:r>
    </w:p>
  </w:footnote>
  <w:footnote w:id="115">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Sobre estas cuestiones, y las posibles configuraciones y efectos de estos registros, </w:t>
      </w:r>
      <w:r w:rsidRPr="006730E3">
        <w:rPr>
          <w:rFonts w:ascii="Calibri" w:hAnsi="Calibri" w:cs="Times New Roman"/>
          <w:smallCaps/>
        </w:rPr>
        <w:t xml:space="preserve">Ruiz-Rico Ruiz, Casado </w:t>
      </w:r>
      <w:proofErr w:type="spellStart"/>
      <w:r w:rsidRPr="006730E3">
        <w:rPr>
          <w:rFonts w:ascii="Calibri" w:hAnsi="Calibri" w:cs="Times New Roman"/>
          <w:smallCaps/>
        </w:rPr>
        <w:t>Casado</w:t>
      </w:r>
      <w:proofErr w:type="spellEnd"/>
      <w:r w:rsidRPr="006730E3">
        <w:rPr>
          <w:rFonts w:ascii="Calibri" w:hAnsi="Calibri" w:cs="Times New Roman"/>
        </w:rPr>
        <w:t>, 2004</w:t>
      </w:r>
      <w:r>
        <w:rPr>
          <w:rFonts w:ascii="Calibri" w:hAnsi="Calibri" w:cs="Times New Roman"/>
        </w:rPr>
        <w:t>:</w:t>
      </w:r>
      <w:r w:rsidRPr="006730E3">
        <w:rPr>
          <w:rFonts w:ascii="Calibri" w:hAnsi="Calibri" w:cs="Times New Roman"/>
        </w:rPr>
        <w:t xml:space="preserve"> 2357 y ss.</w:t>
      </w:r>
    </w:p>
  </w:footnote>
  <w:footnote w:id="116">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proofErr w:type="spellStart"/>
      <w:r w:rsidRPr="006730E3">
        <w:rPr>
          <w:rFonts w:ascii="Calibri" w:hAnsi="Calibri" w:cs="Times New Roman"/>
          <w:smallCaps/>
        </w:rPr>
        <w:t>Valpuesta</w:t>
      </w:r>
      <w:proofErr w:type="spellEnd"/>
      <w:r w:rsidRPr="006730E3">
        <w:rPr>
          <w:rFonts w:ascii="Calibri" w:hAnsi="Calibri" w:cs="Times New Roman"/>
          <w:smallCaps/>
        </w:rPr>
        <w:t xml:space="preserve"> Fernández</w:t>
      </w:r>
      <w:r w:rsidRPr="006730E3">
        <w:rPr>
          <w:rFonts w:ascii="Calibri" w:hAnsi="Calibri" w:cs="Times New Roman"/>
        </w:rPr>
        <w:t>, 1995</w:t>
      </w:r>
      <w:r>
        <w:rPr>
          <w:rFonts w:ascii="Calibri" w:hAnsi="Calibri" w:cs="Times New Roman"/>
        </w:rPr>
        <w:t>:</w:t>
      </w:r>
      <w:r w:rsidRPr="006730E3">
        <w:rPr>
          <w:rFonts w:ascii="Calibri" w:hAnsi="Calibri" w:cs="Times New Roman"/>
        </w:rPr>
        <w:t xml:space="preserve"> 65.</w:t>
      </w:r>
    </w:p>
  </w:footnote>
  <w:footnote w:id="117">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Sobre la necesaria coordinación que requeriría un hipotético registro estatal de parejas no casadas y el RP, </w:t>
      </w:r>
      <w:proofErr w:type="spellStart"/>
      <w:r w:rsidRPr="006730E3">
        <w:rPr>
          <w:rFonts w:ascii="Calibri" w:hAnsi="Calibri" w:cs="Times New Roman"/>
          <w:smallCaps/>
        </w:rPr>
        <w:t>Espiñeira</w:t>
      </w:r>
      <w:proofErr w:type="spellEnd"/>
      <w:r w:rsidRPr="006730E3">
        <w:rPr>
          <w:rFonts w:ascii="Calibri" w:hAnsi="Calibri" w:cs="Times New Roman"/>
          <w:smallCaps/>
        </w:rPr>
        <w:t xml:space="preserve"> Soto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9.</w:t>
      </w:r>
    </w:p>
  </w:footnote>
  <w:footnote w:id="118">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este sentido </w:t>
      </w:r>
      <w:r w:rsidRPr="006730E3">
        <w:rPr>
          <w:rFonts w:ascii="Calibri" w:hAnsi="Calibri" w:cs="Times New Roman"/>
          <w:smallCaps/>
        </w:rPr>
        <w:t>Álvarez González</w:t>
      </w:r>
      <w:r w:rsidRPr="006730E3">
        <w:rPr>
          <w:rFonts w:ascii="Calibri" w:hAnsi="Calibri" w:cs="Times New Roman"/>
        </w:rPr>
        <w:t>, 2002</w:t>
      </w:r>
      <w:r>
        <w:rPr>
          <w:rFonts w:ascii="Calibri" w:hAnsi="Calibri" w:cs="Times New Roman"/>
        </w:rPr>
        <w:t>:</w:t>
      </w:r>
      <w:r w:rsidRPr="006730E3">
        <w:rPr>
          <w:rFonts w:ascii="Calibri" w:hAnsi="Calibri" w:cs="Times New Roman"/>
        </w:rPr>
        <w:t xml:space="preserve"> 1790, cuando critica la supuesta eficacia territorial que las legislaciones civiles autonómicas se atribuyen a sí mismas. </w:t>
      </w:r>
    </w:p>
  </w:footnote>
  <w:footnote w:id="119">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RJ 2018\3474.</w:t>
      </w:r>
    </w:p>
  </w:footnote>
  <w:footnote w:id="120">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FJ 3 de la RDGRN de 7 de febrero de 2013 y FJ 4 de la RDGRN de 25 de junio de 2018.</w:t>
      </w:r>
    </w:p>
  </w:footnote>
  <w:footnote w:id="121">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w:t>
      </w:r>
      <w:r w:rsidRPr="006730E3">
        <w:rPr>
          <w:rFonts w:ascii="Calibri" w:hAnsi="Calibri" w:cs="Times New Roman"/>
        </w:rPr>
        <w:t xml:space="preserve"> 597, 599 y 605 opina que la publicidad del RPHG sólo produce efectos en favor de tercero, siendo insuficiente para generarlos en su perjuicio.</w:t>
      </w:r>
    </w:p>
  </w:footnote>
  <w:footnote w:id="122">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i/>
        </w:rPr>
        <w:t>Vid</w:t>
      </w:r>
      <w:r w:rsidRPr="006730E3">
        <w:rPr>
          <w:rFonts w:ascii="Calibri" w:hAnsi="Calibri" w:cs="Times New Roman"/>
        </w:rPr>
        <w:t xml:space="preserve">. </w:t>
      </w:r>
      <w:r w:rsidRPr="006730E3">
        <w:rPr>
          <w:rFonts w:ascii="Calibri" w:hAnsi="Calibri" w:cs="Times New Roman"/>
          <w:smallCaps/>
        </w:rPr>
        <w:t>González Nieto</w:t>
      </w:r>
      <w:r w:rsidRPr="006730E3">
        <w:rPr>
          <w:rFonts w:ascii="Calibri" w:hAnsi="Calibri" w:cs="Times New Roman"/>
        </w:rPr>
        <w:t>, 2009</w:t>
      </w:r>
      <w:r>
        <w:rPr>
          <w:rFonts w:ascii="Calibri" w:hAnsi="Calibri" w:cs="Times New Roman"/>
        </w:rPr>
        <w:t>:</w:t>
      </w:r>
      <w:r w:rsidRPr="006730E3">
        <w:rPr>
          <w:rFonts w:ascii="Calibri" w:hAnsi="Calibri" w:cs="Times New Roman"/>
        </w:rPr>
        <w:t xml:space="preserve"> 732. Por su parte, </w:t>
      </w:r>
      <w:r w:rsidRPr="006730E3">
        <w:rPr>
          <w:rFonts w:ascii="Calibri" w:hAnsi="Calibri" w:cs="Times New Roman"/>
          <w:smallCaps/>
        </w:rPr>
        <w:t>Calvo Vidal, Cantero Núñez, Sanmartín Losada</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1333, parecen inclinarse a favor de la invocación de lo inscrito </w:t>
      </w:r>
      <w:r w:rsidRPr="006730E3">
        <w:rPr>
          <w:rFonts w:ascii="Calibri" w:hAnsi="Calibri" w:cs="Times New Roman"/>
          <w:i/>
        </w:rPr>
        <w:t xml:space="preserve">erga </w:t>
      </w:r>
      <w:proofErr w:type="spellStart"/>
      <w:r w:rsidRPr="006730E3">
        <w:rPr>
          <w:rFonts w:ascii="Calibri" w:hAnsi="Calibri" w:cs="Times New Roman"/>
          <w:i/>
        </w:rPr>
        <w:t>unum</w:t>
      </w:r>
      <w:proofErr w:type="spellEnd"/>
      <w:r w:rsidRPr="006730E3">
        <w:rPr>
          <w:rFonts w:ascii="Calibri" w:hAnsi="Calibri" w:cs="Times New Roman"/>
        </w:rPr>
        <w:t>, tanto en beneficio como en perjuicio de tercero.</w:t>
      </w:r>
    </w:p>
  </w:footnote>
  <w:footnote w:id="123">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En contra, </w:t>
      </w:r>
      <w:r w:rsidRPr="006730E3">
        <w:rPr>
          <w:rFonts w:ascii="Calibri" w:hAnsi="Calibri" w:cs="Times New Roman"/>
          <w:smallCaps/>
        </w:rPr>
        <w:t>Díaz Martínez</w:t>
      </w:r>
      <w:r w:rsidRPr="006730E3">
        <w:rPr>
          <w:rFonts w:ascii="Calibri" w:hAnsi="Calibri" w:cs="Times New Roman"/>
        </w:rPr>
        <w:t>, 2010</w:t>
      </w:r>
      <w:r>
        <w:rPr>
          <w:rFonts w:ascii="Calibri" w:hAnsi="Calibri" w:cs="Times New Roman"/>
        </w:rPr>
        <w:t>:</w:t>
      </w:r>
      <w:r w:rsidRPr="006730E3">
        <w:rPr>
          <w:rFonts w:ascii="Calibri" w:hAnsi="Calibri" w:cs="Times New Roman"/>
        </w:rPr>
        <w:t xml:space="preserve"> 609.</w:t>
      </w:r>
    </w:p>
  </w:footnote>
  <w:footnote w:id="124">
    <w:p w:rsidR="00B13CC8" w:rsidRPr="006730E3" w:rsidRDefault="00B13CC8" w:rsidP="006730E3">
      <w:pPr>
        <w:pStyle w:val="Textonotapie"/>
        <w:jc w:val="both"/>
        <w:rPr>
          <w:rFonts w:ascii="Calibri" w:hAnsi="Calibri" w:cs="Times New Roman"/>
        </w:rPr>
      </w:pPr>
      <w:r w:rsidRPr="006730E3">
        <w:rPr>
          <w:rStyle w:val="Refdenotaalpie"/>
          <w:rFonts w:ascii="Calibri" w:hAnsi="Calibri" w:cs="Times New Roman"/>
        </w:rPr>
        <w:footnoteRef/>
      </w:r>
      <w:r w:rsidRPr="006730E3">
        <w:rPr>
          <w:rFonts w:ascii="Calibri" w:hAnsi="Calibri" w:cs="Times New Roman"/>
        </w:rPr>
        <w:t xml:space="preserve"> </w:t>
      </w:r>
      <w:r w:rsidRPr="006730E3">
        <w:rPr>
          <w:rFonts w:ascii="Calibri" w:hAnsi="Calibri" w:cs="Times New Roman"/>
          <w:smallCaps/>
        </w:rPr>
        <w:t>García Rubio</w:t>
      </w:r>
      <w:r w:rsidRPr="006730E3">
        <w:rPr>
          <w:rFonts w:ascii="Calibri" w:hAnsi="Calibri" w:cs="Times New Roman"/>
        </w:rPr>
        <w:t>, 2007</w:t>
      </w:r>
      <w:r>
        <w:rPr>
          <w:rFonts w:ascii="Calibri" w:hAnsi="Calibri" w:cs="Times New Roman"/>
        </w:rPr>
        <w:t>:</w:t>
      </w:r>
      <w:r w:rsidRPr="006730E3">
        <w:rPr>
          <w:rFonts w:ascii="Calibri" w:hAnsi="Calibri" w:cs="Times New Roman"/>
        </w:rPr>
        <w:t xml:space="preserve"> 187.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4580F"/>
    <w:multiLevelType w:val="hybridMultilevel"/>
    <w:tmpl w:val="BA026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35"/>
    <w:rsid w:val="00002DA9"/>
    <w:rsid w:val="00002FBA"/>
    <w:rsid w:val="00011147"/>
    <w:rsid w:val="00011742"/>
    <w:rsid w:val="00013979"/>
    <w:rsid w:val="0001653D"/>
    <w:rsid w:val="000168C6"/>
    <w:rsid w:val="00021CA8"/>
    <w:rsid w:val="000229A3"/>
    <w:rsid w:val="00031CF1"/>
    <w:rsid w:val="000327D9"/>
    <w:rsid w:val="00032BEC"/>
    <w:rsid w:val="000336B5"/>
    <w:rsid w:val="00034342"/>
    <w:rsid w:val="00034E0D"/>
    <w:rsid w:val="00036C72"/>
    <w:rsid w:val="00043162"/>
    <w:rsid w:val="00044C23"/>
    <w:rsid w:val="00047862"/>
    <w:rsid w:val="000501F2"/>
    <w:rsid w:val="00051878"/>
    <w:rsid w:val="000518C0"/>
    <w:rsid w:val="000519BA"/>
    <w:rsid w:val="00054F7B"/>
    <w:rsid w:val="00063746"/>
    <w:rsid w:val="00067AD1"/>
    <w:rsid w:val="00070B53"/>
    <w:rsid w:val="000740E2"/>
    <w:rsid w:val="0008058D"/>
    <w:rsid w:val="00081890"/>
    <w:rsid w:val="00082838"/>
    <w:rsid w:val="00083300"/>
    <w:rsid w:val="000864F7"/>
    <w:rsid w:val="000878C7"/>
    <w:rsid w:val="000917A0"/>
    <w:rsid w:val="0009186B"/>
    <w:rsid w:val="00091A9D"/>
    <w:rsid w:val="0009307D"/>
    <w:rsid w:val="00093656"/>
    <w:rsid w:val="00093A98"/>
    <w:rsid w:val="00096504"/>
    <w:rsid w:val="000A3BDC"/>
    <w:rsid w:val="000A5287"/>
    <w:rsid w:val="000A5AF6"/>
    <w:rsid w:val="000A7242"/>
    <w:rsid w:val="000B0B1A"/>
    <w:rsid w:val="000B1CCD"/>
    <w:rsid w:val="000B29C7"/>
    <w:rsid w:val="000B564E"/>
    <w:rsid w:val="000B6337"/>
    <w:rsid w:val="000C3B73"/>
    <w:rsid w:val="000D14D3"/>
    <w:rsid w:val="000D3ABE"/>
    <w:rsid w:val="000E1539"/>
    <w:rsid w:val="000E1ED8"/>
    <w:rsid w:val="000E2C8E"/>
    <w:rsid w:val="000F0C0F"/>
    <w:rsid w:val="000F18DD"/>
    <w:rsid w:val="000F45F1"/>
    <w:rsid w:val="000F585C"/>
    <w:rsid w:val="0010038E"/>
    <w:rsid w:val="00100B33"/>
    <w:rsid w:val="001017F1"/>
    <w:rsid w:val="00107C82"/>
    <w:rsid w:val="00111F1A"/>
    <w:rsid w:val="001143F7"/>
    <w:rsid w:val="00116FFB"/>
    <w:rsid w:val="001204C6"/>
    <w:rsid w:val="001262C4"/>
    <w:rsid w:val="00127D8A"/>
    <w:rsid w:val="00130FAC"/>
    <w:rsid w:val="0013259D"/>
    <w:rsid w:val="00133F81"/>
    <w:rsid w:val="00136947"/>
    <w:rsid w:val="00136FA8"/>
    <w:rsid w:val="0014265A"/>
    <w:rsid w:val="00142B37"/>
    <w:rsid w:val="00142DC0"/>
    <w:rsid w:val="0014512B"/>
    <w:rsid w:val="0014709A"/>
    <w:rsid w:val="00152C1A"/>
    <w:rsid w:val="00155CC1"/>
    <w:rsid w:val="00157D2F"/>
    <w:rsid w:val="0016124C"/>
    <w:rsid w:val="0016152C"/>
    <w:rsid w:val="00162511"/>
    <w:rsid w:val="00164CD6"/>
    <w:rsid w:val="00164CE5"/>
    <w:rsid w:val="0016509C"/>
    <w:rsid w:val="001650A4"/>
    <w:rsid w:val="00166983"/>
    <w:rsid w:val="00166C57"/>
    <w:rsid w:val="001718FF"/>
    <w:rsid w:val="00183F33"/>
    <w:rsid w:val="00183F44"/>
    <w:rsid w:val="00185BDB"/>
    <w:rsid w:val="00190F6B"/>
    <w:rsid w:val="0019703C"/>
    <w:rsid w:val="001A107B"/>
    <w:rsid w:val="001A10DA"/>
    <w:rsid w:val="001A6056"/>
    <w:rsid w:val="001A68D3"/>
    <w:rsid w:val="001A6CD2"/>
    <w:rsid w:val="001B5DC0"/>
    <w:rsid w:val="001B60F7"/>
    <w:rsid w:val="001C28E0"/>
    <w:rsid w:val="001D0438"/>
    <w:rsid w:val="001D6896"/>
    <w:rsid w:val="001D6A3A"/>
    <w:rsid w:val="001E01C9"/>
    <w:rsid w:val="001E3984"/>
    <w:rsid w:val="001E5DBC"/>
    <w:rsid w:val="001E63BE"/>
    <w:rsid w:val="001F3901"/>
    <w:rsid w:val="001F67AA"/>
    <w:rsid w:val="001F730C"/>
    <w:rsid w:val="00201880"/>
    <w:rsid w:val="002128BA"/>
    <w:rsid w:val="00214170"/>
    <w:rsid w:val="002153A3"/>
    <w:rsid w:val="00220544"/>
    <w:rsid w:val="00221F4E"/>
    <w:rsid w:val="00222B62"/>
    <w:rsid w:val="00224055"/>
    <w:rsid w:val="00230029"/>
    <w:rsid w:val="002336D2"/>
    <w:rsid w:val="00233D19"/>
    <w:rsid w:val="00234706"/>
    <w:rsid w:val="00234B41"/>
    <w:rsid w:val="00235586"/>
    <w:rsid w:val="0023612E"/>
    <w:rsid w:val="0023728E"/>
    <w:rsid w:val="002469C5"/>
    <w:rsid w:val="00251044"/>
    <w:rsid w:val="002550CB"/>
    <w:rsid w:val="00260351"/>
    <w:rsid w:val="00260C72"/>
    <w:rsid w:val="0026593F"/>
    <w:rsid w:val="00272854"/>
    <w:rsid w:val="002745D6"/>
    <w:rsid w:val="002802F2"/>
    <w:rsid w:val="00281D50"/>
    <w:rsid w:val="00290D8D"/>
    <w:rsid w:val="00293624"/>
    <w:rsid w:val="00294B18"/>
    <w:rsid w:val="00296C31"/>
    <w:rsid w:val="002A26E5"/>
    <w:rsid w:val="002A5E0E"/>
    <w:rsid w:val="002A79E2"/>
    <w:rsid w:val="002B2F4F"/>
    <w:rsid w:val="002B5605"/>
    <w:rsid w:val="002B7C57"/>
    <w:rsid w:val="002C0376"/>
    <w:rsid w:val="002C37EB"/>
    <w:rsid w:val="002D0D96"/>
    <w:rsid w:val="002D3992"/>
    <w:rsid w:val="002D6D8D"/>
    <w:rsid w:val="002D715B"/>
    <w:rsid w:val="002E1F1D"/>
    <w:rsid w:val="002E23D9"/>
    <w:rsid w:val="002E2BBF"/>
    <w:rsid w:val="002E316C"/>
    <w:rsid w:val="002E4963"/>
    <w:rsid w:val="002E60FE"/>
    <w:rsid w:val="002E66C4"/>
    <w:rsid w:val="002E6FEA"/>
    <w:rsid w:val="002F07CE"/>
    <w:rsid w:val="003020A6"/>
    <w:rsid w:val="00302E5B"/>
    <w:rsid w:val="00307329"/>
    <w:rsid w:val="00311B84"/>
    <w:rsid w:val="003128C3"/>
    <w:rsid w:val="00314B22"/>
    <w:rsid w:val="00314EAC"/>
    <w:rsid w:val="00315720"/>
    <w:rsid w:val="00317E4E"/>
    <w:rsid w:val="0032032D"/>
    <w:rsid w:val="003226AF"/>
    <w:rsid w:val="003230AE"/>
    <w:rsid w:val="00324A5E"/>
    <w:rsid w:val="00326073"/>
    <w:rsid w:val="003340DF"/>
    <w:rsid w:val="00335E15"/>
    <w:rsid w:val="00342F16"/>
    <w:rsid w:val="003460F9"/>
    <w:rsid w:val="00347061"/>
    <w:rsid w:val="003509E8"/>
    <w:rsid w:val="00352B16"/>
    <w:rsid w:val="0035417A"/>
    <w:rsid w:val="00354E0C"/>
    <w:rsid w:val="00354FEF"/>
    <w:rsid w:val="00357ACB"/>
    <w:rsid w:val="00357BC5"/>
    <w:rsid w:val="0036016B"/>
    <w:rsid w:val="00362201"/>
    <w:rsid w:val="003701BF"/>
    <w:rsid w:val="003718EB"/>
    <w:rsid w:val="00372B5D"/>
    <w:rsid w:val="0037405B"/>
    <w:rsid w:val="00374A09"/>
    <w:rsid w:val="0038157B"/>
    <w:rsid w:val="00387D44"/>
    <w:rsid w:val="003A1CB9"/>
    <w:rsid w:val="003A1F86"/>
    <w:rsid w:val="003A6C2F"/>
    <w:rsid w:val="003A7665"/>
    <w:rsid w:val="003B0D74"/>
    <w:rsid w:val="003B1717"/>
    <w:rsid w:val="003B1D37"/>
    <w:rsid w:val="003B238E"/>
    <w:rsid w:val="003B5893"/>
    <w:rsid w:val="003B725B"/>
    <w:rsid w:val="003C758C"/>
    <w:rsid w:val="003D0335"/>
    <w:rsid w:val="003D176B"/>
    <w:rsid w:val="003D1D36"/>
    <w:rsid w:val="003D3AFE"/>
    <w:rsid w:val="003D4685"/>
    <w:rsid w:val="003E4F0F"/>
    <w:rsid w:val="003E60CF"/>
    <w:rsid w:val="003F0AA9"/>
    <w:rsid w:val="003F7F8E"/>
    <w:rsid w:val="004019A7"/>
    <w:rsid w:val="00407ADD"/>
    <w:rsid w:val="004105DD"/>
    <w:rsid w:val="00415A2D"/>
    <w:rsid w:val="00416B3A"/>
    <w:rsid w:val="004178EB"/>
    <w:rsid w:val="00417F44"/>
    <w:rsid w:val="004226ED"/>
    <w:rsid w:val="0043024F"/>
    <w:rsid w:val="004321C1"/>
    <w:rsid w:val="00434811"/>
    <w:rsid w:val="00434F1C"/>
    <w:rsid w:val="004350BF"/>
    <w:rsid w:val="00435A12"/>
    <w:rsid w:val="0044351F"/>
    <w:rsid w:val="00443C3B"/>
    <w:rsid w:val="00444AD5"/>
    <w:rsid w:val="00452513"/>
    <w:rsid w:val="00452D53"/>
    <w:rsid w:val="00454BB3"/>
    <w:rsid w:val="0045574E"/>
    <w:rsid w:val="0046253D"/>
    <w:rsid w:val="0046261D"/>
    <w:rsid w:val="00463034"/>
    <w:rsid w:val="00470735"/>
    <w:rsid w:val="00475050"/>
    <w:rsid w:val="00475360"/>
    <w:rsid w:val="00480660"/>
    <w:rsid w:val="00481A1B"/>
    <w:rsid w:val="0048403F"/>
    <w:rsid w:val="004850D4"/>
    <w:rsid w:val="00492559"/>
    <w:rsid w:val="004955A1"/>
    <w:rsid w:val="004A0528"/>
    <w:rsid w:val="004A5EEC"/>
    <w:rsid w:val="004A741E"/>
    <w:rsid w:val="004A7A93"/>
    <w:rsid w:val="004C1487"/>
    <w:rsid w:val="004C376E"/>
    <w:rsid w:val="004C5153"/>
    <w:rsid w:val="004C751C"/>
    <w:rsid w:val="004D0D5B"/>
    <w:rsid w:val="004D2D7F"/>
    <w:rsid w:val="004D414A"/>
    <w:rsid w:val="004D7A6A"/>
    <w:rsid w:val="004E41C2"/>
    <w:rsid w:val="004E537A"/>
    <w:rsid w:val="004E5DEE"/>
    <w:rsid w:val="004E7828"/>
    <w:rsid w:val="004F14BA"/>
    <w:rsid w:val="004F284C"/>
    <w:rsid w:val="004F4C58"/>
    <w:rsid w:val="00502398"/>
    <w:rsid w:val="005055B0"/>
    <w:rsid w:val="00506FCF"/>
    <w:rsid w:val="005074E9"/>
    <w:rsid w:val="00507C7B"/>
    <w:rsid w:val="00511B7C"/>
    <w:rsid w:val="00514DBC"/>
    <w:rsid w:val="005243EA"/>
    <w:rsid w:val="0053375A"/>
    <w:rsid w:val="0053447F"/>
    <w:rsid w:val="00536B4D"/>
    <w:rsid w:val="005376DF"/>
    <w:rsid w:val="0054263D"/>
    <w:rsid w:val="00543206"/>
    <w:rsid w:val="0054518C"/>
    <w:rsid w:val="00545AE7"/>
    <w:rsid w:val="005501C0"/>
    <w:rsid w:val="00550CE6"/>
    <w:rsid w:val="00573968"/>
    <w:rsid w:val="00574175"/>
    <w:rsid w:val="00574BD4"/>
    <w:rsid w:val="005752FE"/>
    <w:rsid w:val="00575E5F"/>
    <w:rsid w:val="00580CC4"/>
    <w:rsid w:val="00581C8B"/>
    <w:rsid w:val="005849DD"/>
    <w:rsid w:val="00587833"/>
    <w:rsid w:val="005921B1"/>
    <w:rsid w:val="00597C37"/>
    <w:rsid w:val="005A0BBC"/>
    <w:rsid w:val="005A3773"/>
    <w:rsid w:val="005A4054"/>
    <w:rsid w:val="005A5E22"/>
    <w:rsid w:val="005B79F0"/>
    <w:rsid w:val="005C199A"/>
    <w:rsid w:val="005C39BF"/>
    <w:rsid w:val="005C444A"/>
    <w:rsid w:val="005C6D1B"/>
    <w:rsid w:val="005C74F7"/>
    <w:rsid w:val="005D403A"/>
    <w:rsid w:val="005D5BCD"/>
    <w:rsid w:val="005D66F9"/>
    <w:rsid w:val="005E02A6"/>
    <w:rsid w:val="005E241D"/>
    <w:rsid w:val="005E35B0"/>
    <w:rsid w:val="005E4028"/>
    <w:rsid w:val="005E4A18"/>
    <w:rsid w:val="005E4ADF"/>
    <w:rsid w:val="005E4F48"/>
    <w:rsid w:val="005F2058"/>
    <w:rsid w:val="005F3C80"/>
    <w:rsid w:val="005F6CE1"/>
    <w:rsid w:val="006001E3"/>
    <w:rsid w:val="006004F6"/>
    <w:rsid w:val="00602949"/>
    <w:rsid w:val="00602B8A"/>
    <w:rsid w:val="0060632D"/>
    <w:rsid w:val="00607A84"/>
    <w:rsid w:val="0061727C"/>
    <w:rsid w:val="006235B5"/>
    <w:rsid w:val="00626AA9"/>
    <w:rsid w:val="00626C45"/>
    <w:rsid w:val="0062736A"/>
    <w:rsid w:val="00631E2A"/>
    <w:rsid w:val="00632158"/>
    <w:rsid w:val="00632C9A"/>
    <w:rsid w:val="00633B97"/>
    <w:rsid w:val="00634456"/>
    <w:rsid w:val="00634FE5"/>
    <w:rsid w:val="006400E4"/>
    <w:rsid w:val="006413B9"/>
    <w:rsid w:val="00644D6B"/>
    <w:rsid w:val="00646128"/>
    <w:rsid w:val="00646D4F"/>
    <w:rsid w:val="00652485"/>
    <w:rsid w:val="006539D2"/>
    <w:rsid w:val="00654A4C"/>
    <w:rsid w:val="00657F80"/>
    <w:rsid w:val="00660E91"/>
    <w:rsid w:val="006641E7"/>
    <w:rsid w:val="006644B3"/>
    <w:rsid w:val="0066766E"/>
    <w:rsid w:val="006709FF"/>
    <w:rsid w:val="00670FD5"/>
    <w:rsid w:val="00671798"/>
    <w:rsid w:val="006730E3"/>
    <w:rsid w:val="00673299"/>
    <w:rsid w:val="00686588"/>
    <w:rsid w:val="0069097D"/>
    <w:rsid w:val="006916E1"/>
    <w:rsid w:val="0069377F"/>
    <w:rsid w:val="00694294"/>
    <w:rsid w:val="0069451C"/>
    <w:rsid w:val="006A109E"/>
    <w:rsid w:val="006A112A"/>
    <w:rsid w:val="006A29EC"/>
    <w:rsid w:val="006A35A9"/>
    <w:rsid w:val="006A73BA"/>
    <w:rsid w:val="006C0D63"/>
    <w:rsid w:val="006C1A20"/>
    <w:rsid w:val="006C5550"/>
    <w:rsid w:val="006C5DB9"/>
    <w:rsid w:val="006C6C27"/>
    <w:rsid w:val="006C75F5"/>
    <w:rsid w:val="006D5107"/>
    <w:rsid w:val="006E54B6"/>
    <w:rsid w:val="006E78FC"/>
    <w:rsid w:val="006F0929"/>
    <w:rsid w:val="007021CA"/>
    <w:rsid w:val="0071595F"/>
    <w:rsid w:val="007216B7"/>
    <w:rsid w:val="00722A29"/>
    <w:rsid w:val="0072515C"/>
    <w:rsid w:val="00726451"/>
    <w:rsid w:val="00730E57"/>
    <w:rsid w:val="0073254A"/>
    <w:rsid w:val="00742E46"/>
    <w:rsid w:val="007670F3"/>
    <w:rsid w:val="00776230"/>
    <w:rsid w:val="0077728A"/>
    <w:rsid w:val="00777DC5"/>
    <w:rsid w:val="00784C81"/>
    <w:rsid w:val="00787F9B"/>
    <w:rsid w:val="007914E5"/>
    <w:rsid w:val="00793905"/>
    <w:rsid w:val="00794C82"/>
    <w:rsid w:val="007977B4"/>
    <w:rsid w:val="007A1E61"/>
    <w:rsid w:val="007A306A"/>
    <w:rsid w:val="007A4701"/>
    <w:rsid w:val="007A4824"/>
    <w:rsid w:val="007A6225"/>
    <w:rsid w:val="007B0BA4"/>
    <w:rsid w:val="007B117B"/>
    <w:rsid w:val="007B3BA2"/>
    <w:rsid w:val="007B3D34"/>
    <w:rsid w:val="007C08F9"/>
    <w:rsid w:val="007C2E5B"/>
    <w:rsid w:val="007C3A9C"/>
    <w:rsid w:val="007D2BB9"/>
    <w:rsid w:val="007D4908"/>
    <w:rsid w:val="007D6B6B"/>
    <w:rsid w:val="007D6E1C"/>
    <w:rsid w:val="007D6E9E"/>
    <w:rsid w:val="007E3012"/>
    <w:rsid w:val="007E3CBA"/>
    <w:rsid w:val="00802055"/>
    <w:rsid w:val="00802518"/>
    <w:rsid w:val="00803D74"/>
    <w:rsid w:val="00804BDE"/>
    <w:rsid w:val="0080556C"/>
    <w:rsid w:val="00814B5C"/>
    <w:rsid w:val="00814BC5"/>
    <w:rsid w:val="00814FF6"/>
    <w:rsid w:val="0081518C"/>
    <w:rsid w:val="0081637D"/>
    <w:rsid w:val="00821812"/>
    <w:rsid w:val="008232E9"/>
    <w:rsid w:val="00826772"/>
    <w:rsid w:val="00826DEB"/>
    <w:rsid w:val="00830021"/>
    <w:rsid w:val="008308FF"/>
    <w:rsid w:val="008315E3"/>
    <w:rsid w:val="0083558B"/>
    <w:rsid w:val="00840889"/>
    <w:rsid w:val="00840A9A"/>
    <w:rsid w:val="0084142E"/>
    <w:rsid w:val="00841453"/>
    <w:rsid w:val="00847043"/>
    <w:rsid w:val="00847D32"/>
    <w:rsid w:val="00850C6D"/>
    <w:rsid w:val="0085163C"/>
    <w:rsid w:val="008524F8"/>
    <w:rsid w:val="008551EF"/>
    <w:rsid w:val="00857BEB"/>
    <w:rsid w:val="00862C17"/>
    <w:rsid w:val="008707B9"/>
    <w:rsid w:val="00871AF6"/>
    <w:rsid w:val="0087444B"/>
    <w:rsid w:val="00881487"/>
    <w:rsid w:val="0088399D"/>
    <w:rsid w:val="00885049"/>
    <w:rsid w:val="00886C1D"/>
    <w:rsid w:val="008943C3"/>
    <w:rsid w:val="0089518E"/>
    <w:rsid w:val="008974E8"/>
    <w:rsid w:val="008A7D44"/>
    <w:rsid w:val="008B2082"/>
    <w:rsid w:val="008C3572"/>
    <w:rsid w:val="008C6D31"/>
    <w:rsid w:val="008D209B"/>
    <w:rsid w:val="008D28E5"/>
    <w:rsid w:val="008D5C0B"/>
    <w:rsid w:val="008D79B8"/>
    <w:rsid w:val="008D7BC5"/>
    <w:rsid w:val="008E3E90"/>
    <w:rsid w:val="008E7109"/>
    <w:rsid w:val="008F140C"/>
    <w:rsid w:val="008F352E"/>
    <w:rsid w:val="008F5CF0"/>
    <w:rsid w:val="00904AF9"/>
    <w:rsid w:val="00910FAD"/>
    <w:rsid w:val="0091121E"/>
    <w:rsid w:val="009143F8"/>
    <w:rsid w:val="00914C86"/>
    <w:rsid w:val="00917EB1"/>
    <w:rsid w:val="009207CF"/>
    <w:rsid w:val="009222C8"/>
    <w:rsid w:val="00922B62"/>
    <w:rsid w:val="00940711"/>
    <w:rsid w:val="00940918"/>
    <w:rsid w:val="00940C48"/>
    <w:rsid w:val="00942130"/>
    <w:rsid w:val="00942963"/>
    <w:rsid w:val="009514D9"/>
    <w:rsid w:val="0095217A"/>
    <w:rsid w:val="0095373B"/>
    <w:rsid w:val="00953ED8"/>
    <w:rsid w:val="0095587E"/>
    <w:rsid w:val="00955FB3"/>
    <w:rsid w:val="00957C79"/>
    <w:rsid w:val="0096418E"/>
    <w:rsid w:val="00974CBC"/>
    <w:rsid w:val="009764C5"/>
    <w:rsid w:val="00980660"/>
    <w:rsid w:val="00980E38"/>
    <w:rsid w:val="0098320A"/>
    <w:rsid w:val="0098378B"/>
    <w:rsid w:val="0099248D"/>
    <w:rsid w:val="0099411D"/>
    <w:rsid w:val="009A2FA1"/>
    <w:rsid w:val="009A315C"/>
    <w:rsid w:val="009A4E58"/>
    <w:rsid w:val="009A5C2B"/>
    <w:rsid w:val="009B1BC6"/>
    <w:rsid w:val="009B285E"/>
    <w:rsid w:val="009B7736"/>
    <w:rsid w:val="009B78F6"/>
    <w:rsid w:val="009C07A0"/>
    <w:rsid w:val="009C2025"/>
    <w:rsid w:val="009C2DCB"/>
    <w:rsid w:val="009C351A"/>
    <w:rsid w:val="009C49B2"/>
    <w:rsid w:val="009D4624"/>
    <w:rsid w:val="009D4D07"/>
    <w:rsid w:val="009D6608"/>
    <w:rsid w:val="009D6682"/>
    <w:rsid w:val="009D6BE5"/>
    <w:rsid w:val="009E08B9"/>
    <w:rsid w:val="009E0FF3"/>
    <w:rsid w:val="009E2BE5"/>
    <w:rsid w:val="009E2CE0"/>
    <w:rsid w:val="009E34D3"/>
    <w:rsid w:val="009E3B49"/>
    <w:rsid w:val="009F4E03"/>
    <w:rsid w:val="009F641B"/>
    <w:rsid w:val="00A02F46"/>
    <w:rsid w:val="00A049AF"/>
    <w:rsid w:val="00A04EB6"/>
    <w:rsid w:val="00A050E6"/>
    <w:rsid w:val="00A07BB7"/>
    <w:rsid w:val="00A14D4A"/>
    <w:rsid w:val="00A21A0A"/>
    <w:rsid w:val="00A234CA"/>
    <w:rsid w:val="00A25757"/>
    <w:rsid w:val="00A27DFD"/>
    <w:rsid w:val="00A30DFA"/>
    <w:rsid w:val="00A409B5"/>
    <w:rsid w:val="00A41384"/>
    <w:rsid w:val="00A530A4"/>
    <w:rsid w:val="00A54785"/>
    <w:rsid w:val="00A60C88"/>
    <w:rsid w:val="00A642DB"/>
    <w:rsid w:val="00A64EE8"/>
    <w:rsid w:val="00A65B3C"/>
    <w:rsid w:val="00A67769"/>
    <w:rsid w:val="00A74135"/>
    <w:rsid w:val="00A81597"/>
    <w:rsid w:val="00A83B7F"/>
    <w:rsid w:val="00A85AE3"/>
    <w:rsid w:val="00A86AF6"/>
    <w:rsid w:val="00A9188C"/>
    <w:rsid w:val="00AA1370"/>
    <w:rsid w:val="00AA45E9"/>
    <w:rsid w:val="00AB0766"/>
    <w:rsid w:val="00AB256E"/>
    <w:rsid w:val="00AB2EA7"/>
    <w:rsid w:val="00AB3966"/>
    <w:rsid w:val="00AB4A9D"/>
    <w:rsid w:val="00AC0060"/>
    <w:rsid w:val="00AD0331"/>
    <w:rsid w:val="00AD3CF4"/>
    <w:rsid w:val="00AD422A"/>
    <w:rsid w:val="00AD4BCB"/>
    <w:rsid w:val="00AD64B4"/>
    <w:rsid w:val="00AE00E9"/>
    <w:rsid w:val="00AE4D7F"/>
    <w:rsid w:val="00AF6D73"/>
    <w:rsid w:val="00B02BEE"/>
    <w:rsid w:val="00B04F3C"/>
    <w:rsid w:val="00B052B4"/>
    <w:rsid w:val="00B10FDD"/>
    <w:rsid w:val="00B12771"/>
    <w:rsid w:val="00B132D0"/>
    <w:rsid w:val="00B13CC8"/>
    <w:rsid w:val="00B24A9B"/>
    <w:rsid w:val="00B26635"/>
    <w:rsid w:val="00B35D2E"/>
    <w:rsid w:val="00B47631"/>
    <w:rsid w:val="00B53681"/>
    <w:rsid w:val="00B54849"/>
    <w:rsid w:val="00B57CC5"/>
    <w:rsid w:val="00B62BFD"/>
    <w:rsid w:val="00B65F15"/>
    <w:rsid w:val="00B67ACB"/>
    <w:rsid w:val="00B67ADE"/>
    <w:rsid w:val="00B7095A"/>
    <w:rsid w:val="00B7594D"/>
    <w:rsid w:val="00B77976"/>
    <w:rsid w:val="00B80F40"/>
    <w:rsid w:val="00B8323B"/>
    <w:rsid w:val="00B84F63"/>
    <w:rsid w:val="00B86EC1"/>
    <w:rsid w:val="00B877D2"/>
    <w:rsid w:val="00B936EB"/>
    <w:rsid w:val="00B94B40"/>
    <w:rsid w:val="00B96A9F"/>
    <w:rsid w:val="00B97B97"/>
    <w:rsid w:val="00BA155D"/>
    <w:rsid w:val="00BA4B5A"/>
    <w:rsid w:val="00BA6187"/>
    <w:rsid w:val="00BB0DDD"/>
    <w:rsid w:val="00BB24F1"/>
    <w:rsid w:val="00BB6A52"/>
    <w:rsid w:val="00BC28B5"/>
    <w:rsid w:val="00BC4FBA"/>
    <w:rsid w:val="00BC5695"/>
    <w:rsid w:val="00BE05AC"/>
    <w:rsid w:val="00BE106F"/>
    <w:rsid w:val="00BE1503"/>
    <w:rsid w:val="00BE5240"/>
    <w:rsid w:val="00BF0A2C"/>
    <w:rsid w:val="00BF3D8C"/>
    <w:rsid w:val="00BF620F"/>
    <w:rsid w:val="00BF7FCB"/>
    <w:rsid w:val="00C002D0"/>
    <w:rsid w:val="00C0185A"/>
    <w:rsid w:val="00C02ED7"/>
    <w:rsid w:val="00C0318E"/>
    <w:rsid w:val="00C061B6"/>
    <w:rsid w:val="00C12E24"/>
    <w:rsid w:val="00C1588A"/>
    <w:rsid w:val="00C200EC"/>
    <w:rsid w:val="00C21CFB"/>
    <w:rsid w:val="00C23650"/>
    <w:rsid w:val="00C25795"/>
    <w:rsid w:val="00C26194"/>
    <w:rsid w:val="00C3032D"/>
    <w:rsid w:val="00C34283"/>
    <w:rsid w:val="00C3471E"/>
    <w:rsid w:val="00C34EDB"/>
    <w:rsid w:val="00C37AFB"/>
    <w:rsid w:val="00C41DDB"/>
    <w:rsid w:val="00C43C83"/>
    <w:rsid w:val="00C43CB1"/>
    <w:rsid w:val="00C46350"/>
    <w:rsid w:val="00C4735A"/>
    <w:rsid w:val="00C5224B"/>
    <w:rsid w:val="00C53070"/>
    <w:rsid w:val="00C5314D"/>
    <w:rsid w:val="00C572BD"/>
    <w:rsid w:val="00C6071D"/>
    <w:rsid w:val="00C62014"/>
    <w:rsid w:val="00C65BA9"/>
    <w:rsid w:val="00C723C9"/>
    <w:rsid w:val="00C732FC"/>
    <w:rsid w:val="00C74809"/>
    <w:rsid w:val="00C74D6A"/>
    <w:rsid w:val="00C824CD"/>
    <w:rsid w:val="00C831BB"/>
    <w:rsid w:val="00C8429F"/>
    <w:rsid w:val="00C8717B"/>
    <w:rsid w:val="00C87F20"/>
    <w:rsid w:val="00C92780"/>
    <w:rsid w:val="00C93DBC"/>
    <w:rsid w:val="00C957E5"/>
    <w:rsid w:val="00C969CC"/>
    <w:rsid w:val="00C96CD9"/>
    <w:rsid w:val="00C97CD9"/>
    <w:rsid w:val="00CA2753"/>
    <w:rsid w:val="00CA7139"/>
    <w:rsid w:val="00CA787D"/>
    <w:rsid w:val="00CB5AF8"/>
    <w:rsid w:val="00CC1C21"/>
    <w:rsid w:val="00CC4E8A"/>
    <w:rsid w:val="00CC54E9"/>
    <w:rsid w:val="00CC5D96"/>
    <w:rsid w:val="00CC616F"/>
    <w:rsid w:val="00CC6615"/>
    <w:rsid w:val="00CC7C04"/>
    <w:rsid w:val="00CD13DA"/>
    <w:rsid w:val="00CD3EDB"/>
    <w:rsid w:val="00CD633D"/>
    <w:rsid w:val="00CD75C7"/>
    <w:rsid w:val="00CE4403"/>
    <w:rsid w:val="00CE7C8E"/>
    <w:rsid w:val="00CF15F1"/>
    <w:rsid w:val="00CF27EB"/>
    <w:rsid w:val="00CF493F"/>
    <w:rsid w:val="00D011EF"/>
    <w:rsid w:val="00D01E3E"/>
    <w:rsid w:val="00D0369D"/>
    <w:rsid w:val="00D0413F"/>
    <w:rsid w:val="00D04714"/>
    <w:rsid w:val="00D066A5"/>
    <w:rsid w:val="00D06E9E"/>
    <w:rsid w:val="00D127A1"/>
    <w:rsid w:val="00D17FE7"/>
    <w:rsid w:val="00D2118F"/>
    <w:rsid w:val="00D21274"/>
    <w:rsid w:val="00D21F4A"/>
    <w:rsid w:val="00D2241C"/>
    <w:rsid w:val="00D22DB9"/>
    <w:rsid w:val="00D310F7"/>
    <w:rsid w:val="00D328F3"/>
    <w:rsid w:val="00D33B5C"/>
    <w:rsid w:val="00D36E89"/>
    <w:rsid w:val="00D4266F"/>
    <w:rsid w:val="00D42EF3"/>
    <w:rsid w:val="00D438E0"/>
    <w:rsid w:val="00D440F0"/>
    <w:rsid w:val="00D52B28"/>
    <w:rsid w:val="00D53355"/>
    <w:rsid w:val="00D5436E"/>
    <w:rsid w:val="00D5515C"/>
    <w:rsid w:val="00D60244"/>
    <w:rsid w:val="00D610D2"/>
    <w:rsid w:val="00D61A52"/>
    <w:rsid w:val="00D638E9"/>
    <w:rsid w:val="00D67D92"/>
    <w:rsid w:val="00D72B9C"/>
    <w:rsid w:val="00D74946"/>
    <w:rsid w:val="00D766D2"/>
    <w:rsid w:val="00D77414"/>
    <w:rsid w:val="00D83C53"/>
    <w:rsid w:val="00D8611E"/>
    <w:rsid w:val="00D866C4"/>
    <w:rsid w:val="00D8793F"/>
    <w:rsid w:val="00D93338"/>
    <w:rsid w:val="00D9333E"/>
    <w:rsid w:val="00D93868"/>
    <w:rsid w:val="00D93B38"/>
    <w:rsid w:val="00D96D2F"/>
    <w:rsid w:val="00D97941"/>
    <w:rsid w:val="00DA264F"/>
    <w:rsid w:val="00DA34D3"/>
    <w:rsid w:val="00DA3DEE"/>
    <w:rsid w:val="00DA6EDF"/>
    <w:rsid w:val="00DA6F9E"/>
    <w:rsid w:val="00DA710A"/>
    <w:rsid w:val="00DB30F7"/>
    <w:rsid w:val="00DB5A8D"/>
    <w:rsid w:val="00DC2E7E"/>
    <w:rsid w:val="00DC524C"/>
    <w:rsid w:val="00DD1017"/>
    <w:rsid w:val="00DD321E"/>
    <w:rsid w:val="00DD4EFF"/>
    <w:rsid w:val="00DD5930"/>
    <w:rsid w:val="00DE5835"/>
    <w:rsid w:val="00DF4D16"/>
    <w:rsid w:val="00DF62D5"/>
    <w:rsid w:val="00E049DF"/>
    <w:rsid w:val="00E06566"/>
    <w:rsid w:val="00E16EB1"/>
    <w:rsid w:val="00E203E9"/>
    <w:rsid w:val="00E21364"/>
    <w:rsid w:val="00E24801"/>
    <w:rsid w:val="00E27544"/>
    <w:rsid w:val="00E30C98"/>
    <w:rsid w:val="00E34FA2"/>
    <w:rsid w:val="00E54A4B"/>
    <w:rsid w:val="00E5513C"/>
    <w:rsid w:val="00E60864"/>
    <w:rsid w:val="00E621FA"/>
    <w:rsid w:val="00E63D58"/>
    <w:rsid w:val="00E65707"/>
    <w:rsid w:val="00E6656A"/>
    <w:rsid w:val="00E71244"/>
    <w:rsid w:val="00E77C2A"/>
    <w:rsid w:val="00E82584"/>
    <w:rsid w:val="00E83FB3"/>
    <w:rsid w:val="00E9290D"/>
    <w:rsid w:val="00E952CF"/>
    <w:rsid w:val="00E95B89"/>
    <w:rsid w:val="00E96E64"/>
    <w:rsid w:val="00EA6360"/>
    <w:rsid w:val="00EA6680"/>
    <w:rsid w:val="00EA751E"/>
    <w:rsid w:val="00EB0582"/>
    <w:rsid w:val="00EB2E81"/>
    <w:rsid w:val="00EB5719"/>
    <w:rsid w:val="00EC1382"/>
    <w:rsid w:val="00EC6C0E"/>
    <w:rsid w:val="00ED62DE"/>
    <w:rsid w:val="00ED7AF7"/>
    <w:rsid w:val="00EE0077"/>
    <w:rsid w:val="00EE2F3F"/>
    <w:rsid w:val="00EE3FF7"/>
    <w:rsid w:val="00EE7AF0"/>
    <w:rsid w:val="00EE7FCB"/>
    <w:rsid w:val="00EF03F9"/>
    <w:rsid w:val="00EF2429"/>
    <w:rsid w:val="00EF5EE8"/>
    <w:rsid w:val="00F00370"/>
    <w:rsid w:val="00F008D3"/>
    <w:rsid w:val="00F042D5"/>
    <w:rsid w:val="00F04657"/>
    <w:rsid w:val="00F05B37"/>
    <w:rsid w:val="00F1417A"/>
    <w:rsid w:val="00F150F0"/>
    <w:rsid w:val="00F15326"/>
    <w:rsid w:val="00F154E1"/>
    <w:rsid w:val="00F2054E"/>
    <w:rsid w:val="00F23C7B"/>
    <w:rsid w:val="00F2619F"/>
    <w:rsid w:val="00F26D12"/>
    <w:rsid w:val="00F41454"/>
    <w:rsid w:val="00F45DF6"/>
    <w:rsid w:val="00F46B8C"/>
    <w:rsid w:val="00F54800"/>
    <w:rsid w:val="00F57684"/>
    <w:rsid w:val="00F601A7"/>
    <w:rsid w:val="00F604E8"/>
    <w:rsid w:val="00F726BE"/>
    <w:rsid w:val="00F75754"/>
    <w:rsid w:val="00F76FDE"/>
    <w:rsid w:val="00F85146"/>
    <w:rsid w:val="00F85938"/>
    <w:rsid w:val="00F94492"/>
    <w:rsid w:val="00FA0C45"/>
    <w:rsid w:val="00FA4794"/>
    <w:rsid w:val="00FA525F"/>
    <w:rsid w:val="00FA7DD3"/>
    <w:rsid w:val="00FB0A6B"/>
    <w:rsid w:val="00FB4720"/>
    <w:rsid w:val="00FB47EE"/>
    <w:rsid w:val="00FB70C7"/>
    <w:rsid w:val="00FC14B0"/>
    <w:rsid w:val="00FC5435"/>
    <w:rsid w:val="00FC61F7"/>
    <w:rsid w:val="00FC63A5"/>
    <w:rsid w:val="00FC72B2"/>
    <w:rsid w:val="00FD4224"/>
    <w:rsid w:val="00FD6E56"/>
    <w:rsid w:val="00FE5209"/>
    <w:rsid w:val="00FE52C8"/>
    <w:rsid w:val="00FF0D5F"/>
    <w:rsid w:val="00FF2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92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83F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F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F44"/>
  </w:style>
  <w:style w:type="paragraph" w:styleId="Piedepgina">
    <w:name w:val="footer"/>
    <w:basedOn w:val="Normal"/>
    <w:link w:val="PiedepginaCar"/>
    <w:uiPriority w:val="99"/>
    <w:unhideWhenUsed/>
    <w:rsid w:val="00183F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F44"/>
  </w:style>
  <w:style w:type="character" w:customStyle="1" w:styleId="Ttulo3Car">
    <w:name w:val="Título 3 Car"/>
    <w:basedOn w:val="Fuentedeprrafopredeter"/>
    <w:link w:val="Ttulo3"/>
    <w:uiPriority w:val="9"/>
    <w:rsid w:val="00183F44"/>
    <w:rPr>
      <w:rFonts w:ascii="Times New Roman" w:eastAsia="Times New Roman" w:hAnsi="Times New Roman" w:cs="Times New Roman"/>
      <w:b/>
      <w:bCs/>
      <w:sz w:val="27"/>
      <w:szCs w:val="27"/>
      <w:lang w:eastAsia="es-ES"/>
    </w:rPr>
  </w:style>
  <w:style w:type="paragraph" w:styleId="Textonotapie">
    <w:name w:val="footnote text"/>
    <w:aliases w:val="fn,footnotes,Footnotes,fn1,fn2,footnote text1,fn3,footnote text2,Car Car Car Car Car,Car Car Car Car,Car Car Car Car Car Car Car,Car Car Car Car Car Car Car Car Car Car Car,Car Car Car Car Car Car Car Car Car Car,Arial "/>
    <w:basedOn w:val="Normal"/>
    <w:link w:val="TextonotapieCar"/>
    <w:unhideWhenUsed/>
    <w:rsid w:val="00183F44"/>
    <w:pPr>
      <w:spacing w:after="0" w:line="240" w:lineRule="auto"/>
    </w:pPr>
    <w:rPr>
      <w:sz w:val="20"/>
      <w:szCs w:val="20"/>
    </w:rPr>
  </w:style>
  <w:style w:type="character" w:customStyle="1" w:styleId="TextonotapieCar">
    <w:name w:val="Texto nota pie Car"/>
    <w:aliases w:val="fn Car,footnotes Car,Footnotes Car,fn1 Car,fn2 Car,footnote text1 Car,fn3 Car,footnote text2 Car,Car Car Car Car Car Car,Car Car Car Car Car1,Car Car Car Car Car Car Car Car,Car Car Car Car Car Car Car Car Car Car Car Car,Arial  Car1"/>
    <w:basedOn w:val="Fuentedeprrafopredeter"/>
    <w:link w:val="Textonotapie"/>
    <w:uiPriority w:val="99"/>
    <w:rsid w:val="00183F44"/>
    <w:rPr>
      <w:sz w:val="20"/>
      <w:szCs w:val="20"/>
    </w:rPr>
  </w:style>
  <w:style w:type="character" w:styleId="Refdenotaalpie">
    <w:name w:val="footnote reference"/>
    <w:basedOn w:val="Fuentedeprrafopredeter"/>
    <w:unhideWhenUsed/>
    <w:rsid w:val="00183F44"/>
    <w:rPr>
      <w:vertAlign w:val="superscript"/>
    </w:rPr>
  </w:style>
  <w:style w:type="paragraph" w:customStyle="1" w:styleId="parrafo2">
    <w:name w:val="parrafo_2"/>
    <w:basedOn w:val="Normal"/>
    <w:rsid w:val="00B10FD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10FD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A0C45"/>
    <w:pPr>
      <w:ind w:left="720"/>
      <w:contextualSpacing/>
    </w:pPr>
  </w:style>
  <w:style w:type="paragraph" w:styleId="NormalWeb">
    <w:name w:val="Normal (Web)"/>
    <w:basedOn w:val="Normal"/>
    <w:uiPriority w:val="99"/>
    <w:unhideWhenUsed/>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
    <w:name w:val="xl1"/>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7B97"/>
    <w:rPr>
      <w:color w:val="808080"/>
    </w:rPr>
  </w:style>
  <w:style w:type="paragraph" w:customStyle="1" w:styleId="Default">
    <w:name w:val="Default"/>
    <w:rsid w:val="00C5224B"/>
    <w:pPr>
      <w:autoSpaceDE w:val="0"/>
      <w:autoSpaceDN w:val="0"/>
      <w:adjustRightInd w:val="0"/>
      <w:spacing w:after="0" w:line="240" w:lineRule="auto"/>
    </w:pPr>
    <w:rPr>
      <w:rFonts w:ascii="HelveticaNeue-Roman" w:hAnsi="HelveticaNeue-Roman" w:cs="HelveticaNeue-Roman"/>
      <w:color w:val="000000"/>
      <w:sz w:val="24"/>
      <w:szCs w:val="24"/>
    </w:rPr>
  </w:style>
  <w:style w:type="character" w:customStyle="1" w:styleId="searchterm">
    <w:name w:val="searchterm"/>
    <w:basedOn w:val="Fuentedeprrafopredeter"/>
    <w:rsid w:val="00435A12"/>
  </w:style>
  <w:style w:type="character" w:customStyle="1" w:styleId="Ttulo1Car">
    <w:name w:val="Título 1 Car"/>
    <w:basedOn w:val="Fuentedeprrafopredeter"/>
    <w:link w:val="Ttulo1"/>
    <w:uiPriority w:val="9"/>
    <w:rsid w:val="0099248D"/>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99248D"/>
    <w:rPr>
      <w:color w:val="0000FF"/>
      <w:u w:val="single"/>
    </w:rPr>
  </w:style>
  <w:style w:type="paragraph" w:customStyle="1" w:styleId="CAPITULO">
    <w:name w:val="_CAPITULO"/>
    <w:autoRedefine/>
    <w:rsid w:val="00C53070"/>
    <w:pPr>
      <w:spacing w:before="100" w:beforeAutospacing="1" w:after="0" w:line="240" w:lineRule="auto"/>
      <w:contextualSpacing/>
      <w:jc w:val="center"/>
    </w:pPr>
    <w:rPr>
      <w:rFonts w:ascii="Garamond" w:eastAsia="Times New Roman" w:hAnsi="Garamond" w:cs="Arial"/>
      <w:b/>
      <w:bCs/>
      <w:sz w:val="36"/>
      <w:szCs w:val="24"/>
      <w:lang w:eastAsia="es-ES"/>
    </w:rPr>
  </w:style>
  <w:style w:type="character" w:customStyle="1" w:styleId="TextonotapieCar2">
    <w:name w:val="Texto nota pie Car2"/>
    <w:aliases w:val="fn Car2,footnotes Car2,Footnotes Car2,fn1 Car2,fn2 Car2,footnote text1 Car2,fn3 Car2,footnote text2 Car2,Texto nota pie Car Car3,Car Car Car Car Car Car3,Car Car Car Car Car3,Car Car Car Car Car Car Car Car3,Arial  Car"/>
    <w:semiHidden/>
    <w:locked/>
    <w:rsid w:val="002D3992"/>
    <w:rPr>
      <w:lang w:val="x-none" w:eastAsia="ca-ES" w:bidi="ar-SA"/>
    </w:rPr>
  </w:style>
  <w:style w:type="character" w:customStyle="1" w:styleId="CURSIVAS">
    <w:name w:val="_CURSIVAS"/>
    <w:rsid w:val="00FC5435"/>
    <w:rPr>
      <w:rFonts w:ascii="Garamond" w:hAnsi="Garamond"/>
      <w:i/>
      <w:color w:val="auto"/>
    </w:rPr>
  </w:style>
  <w:style w:type="paragraph" w:styleId="Textodeglobo">
    <w:name w:val="Balloon Text"/>
    <w:basedOn w:val="Normal"/>
    <w:link w:val="TextodegloboCar"/>
    <w:uiPriority w:val="99"/>
    <w:semiHidden/>
    <w:unhideWhenUsed/>
    <w:rsid w:val="00FB47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4720"/>
    <w:rPr>
      <w:rFonts w:ascii="Segoe UI" w:hAnsi="Segoe UI" w:cs="Segoe UI"/>
      <w:sz w:val="18"/>
      <w:szCs w:val="18"/>
    </w:rPr>
  </w:style>
  <w:style w:type="paragraph" w:styleId="Textonotaalfinal">
    <w:name w:val="endnote text"/>
    <w:basedOn w:val="Normal"/>
    <w:link w:val="TextonotaalfinalCar"/>
    <w:uiPriority w:val="99"/>
    <w:semiHidden/>
    <w:unhideWhenUsed/>
    <w:rsid w:val="00EE3F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3FF7"/>
    <w:rPr>
      <w:sz w:val="20"/>
      <w:szCs w:val="20"/>
    </w:rPr>
  </w:style>
  <w:style w:type="character" w:styleId="Refdenotaalfinal">
    <w:name w:val="endnote reference"/>
    <w:basedOn w:val="Fuentedeprrafopredeter"/>
    <w:uiPriority w:val="99"/>
    <w:semiHidden/>
    <w:unhideWhenUsed/>
    <w:rsid w:val="00EE3FF7"/>
    <w:rPr>
      <w:vertAlign w:val="superscript"/>
    </w:rPr>
  </w:style>
  <w:style w:type="paragraph" w:styleId="Textocomentario">
    <w:name w:val="annotation text"/>
    <w:basedOn w:val="Normal"/>
    <w:link w:val="TextocomentarioCar"/>
    <w:uiPriority w:val="99"/>
    <w:semiHidden/>
    <w:unhideWhenUsed/>
    <w:rsid w:val="00EE3FF7"/>
    <w:pPr>
      <w:spacing w:after="0" w:line="240" w:lineRule="auto"/>
      <w:ind w:firstLine="709"/>
      <w:jc w:val="both"/>
    </w:pPr>
    <w:rPr>
      <w:rFonts w:ascii="Times New Roman" w:eastAsia="Times New Roman" w:hAnsi="Times New Roman" w:cs="Times New Roman"/>
      <w:sz w:val="24"/>
      <w:szCs w:val="24"/>
      <w:lang w:eastAsia="es-ES"/>
    </w:rPr>
  </w:style>
  <w:style w:type="character" w:customStyle="1" w:styleId="TextocomentarioCar">
    <w:name w:val="Texto comentario Car"/>
    <w:basedOn w:val="Fuentedeprrafopredeter"/>
    <w:link w:val="Textocomentario"/>
    <w:uiPriority w:val="99"/>
    <w:semiHidden/>
    <w:rsid w:val="00EE3FF7"/>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92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83F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F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F44"/>
  </w:style>
  <w:style w:type="paragraph" w:styleId="Piedepgina">
    <w:name w:val="footer"/>
    <w:basedOn w:val="Normal"/>
    <w:link w:val="PiedepginaCar"/>
    <w:uiPriority w:val="99"/>
    <w:unhideWhenUsed/>
    <w:rsid w:val="00183F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F44"/>
  </w:style>
  <w:style w:type="character" w:customStyle="1" w:styleId="Ttulo3Car">
    <w:name w:val="Título 3 Car"/>
    <w:basedOn w:val="Fuentedeprrafopredeter"/>
    <w:link w:val="Ttulo3"/>
    <w:uiPriority w:val="9"/>
    <w:rsid w:val="00183F44"/>
    <w:rPr>
      <w:rFonts w:ascii="Times New Roman" w:eastAsia="Times New Roman" w:hAnsi="Times New Roman" w:cs="Times New Roman"/>
      <w:b/>
      <w:bCs/>
      <w:sz w:val="27"/>
      <w:szCs w:val="27"/>
      <w:lang w:eastAsia="es-ES"/>
    </w:rPr>
  </w:style>
  <w:style w:type="paragraph" w:styleId="Textonotapie">
    <w:name w:val="footnote text"/>
    <w:aliases w:val="fn,footnotes,Footnotes,fn1,fn2,footnote text1,fn3,footnote text2,Car Car Car Car Car,Car Car Car Car,Car Car Car Car Car Car Car,Car Car Car Car Car Car Car Car Car Car Car,Car Car Car Car Car Car Car Car Car Car,Arial "/>
    <w:basedOn w:val="Normal"/>
    <w:link w:val="TextonotapieCar"/>
    <w:unhideWhenUsed/>
    <w:rsid w:val="00183F44"/>
    <w:pPr>
      <w:spacing w:after="0" w:line="240" w:lineRule="auto"/>
    </w:pPr>
    <w:rPr>
      <w:sz w:val="20"/>
      <w:szCs w:val="20"/>
    </w:rPr>
  </w:style>
  <w:style w:type="character" w:customStyle="1" w:styleId="TextonotapieCar">
    <w:name w:val="Texto nota pie Car"/>
    <w:aliases w:val="fn Car,footnotes Car,Footnotes Car,fn1 Car,fn2 Car,footnote text1 Car,fn3 Car,footnote text2 Car,Car Car Car Car Car Car,Car Car Car Car Car1,Car Car Car Car Car Car Car Car,Car Car Car Car Car Car Car Car Car Car Car Car,Arial  Car1"/>
    <w:basedOn w:val="Fuentedeprrafopredeter"/>
    <w:link w:val="Textonotapie"/>
    <w:uiPriority w:val="99"/>
    <w:rsid w:val="00183F44"/>
    <w:rPr>
      <w:sz w:val="20"/>
      <w:szCs w:val="20"/>
    </w:rPr>
  </w:style>
  <w:style w:type="character" w:styleId="Refdenotaalpie">
    <w:name w:val="footnote reference"/>
    <w:basedOn w:val="Fuentedeprrafopredeter"/>
    <w:unhideWhenUsed/>
    <w:rsid w:val="00183F44"/>
    <w:rPr>
      <w:vertAlign w:val="superscript"/>
    </w:rPr>
  </w:style>
  <w:style w:type="paragraph" w:customStyle="1" w:styleId="parrafo2">
    <w:name w:val="parrafo_2"/>
    <w:basedOn w:val="Normal"/>
    <w:rsid w:val="00B10FD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10FD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A0C45"/>
    <w:pPr>
      <w:ind w:left="720"/>
      <w:contextualSpacing/>
    </w:pPr>
  </w:style>
  <w:style w:type="paragraph" w:styleId="NormalWeb">
    <w:name w:val="Normal (Web)"/>
    <w:basedOn w:val="Normal"/>
    <w:uiPriority w:val="99"/>
    <w:unhideWhenUsed/>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
    <w:name w:val="xl1"/>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C02E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7B97"/>
    <w:rPr>
      <w:color w:val="808080"/>
    </w:rPr>
  </w:style>
  <w:style w:type="paragraph" w:customStyle="1" w:styleId="Default">
    <w:name w:val="Default"/>
    <w:rsid w:val="00C5224B"/>
    <w:pPr>
      <w:autoSpaceDE w:val="0"/>
      <w:autoSpaceDN w:val="0"/>
      <w:adjustRightInd w:val="0"/>
      <w:spacing w:after="0" w:line="240" w:lineRule="auto"/>
    </w:pPr>
    <w:rPr>
      <w:rFonts w:ascii="HelveticaNeue-Roman" w:hAnsi="HelveticaNeue-Roman" w:cs="HelveticaNeue-Roman"/>
      <w:color w:val="000000"/>
      <w:sz w:val="24"/>
      <w:szCs w:val="24"/>
    </w:rPr>
  </w:style>
  <w:style w:type="character" w:customStyle="1" w:styleId="searchterm">
    <w:name w:val="searchterm"/>
    <w:basedOn w:val="Fuentedeprrafopredeter"/>
    <w:rsid w:val="00435A12"/>
  </w:style>
  <w:style w:type="character" w:customStyle="1" w:styleId="Ttulo1Car">
    <w:name w:val="Título 1 Car"/>
    <w:basedOn w:val="Fuentedeprrafopredeter"/>
    <w:link w:val="Ttulo1"/>
    <w:uiPriority w:val="9"/>
    <w:rsid w:val="0099248D"/>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99248D"/>
    <w:rPr>
      <w:color w:val="0000FF"/>
      <w:u w:val="single"/>
    </w:rPr>
  </w:style>
  <w:style w:type="paragraph" w:customStyle="1" w:styleId="CAPITULO">
    <w:name w:val="_CAPITULO"/>
    <w:autoRedefine/>
    <w:rsid w:val="00C53070"/>
    <w:pPr>
      <w:spacing w:before="100" w:beforeAutospacing="1" w:after="0" w:line="240" w:lineRule="auto"/>
      <w:contextualSpacing/>
      <w:jc w:val="center"/>
    </w:pPr>
    <w:rPr>
      <w:rFonts w:ascii="Garamond" w:eastAsia="Times New Roman" w:hAnsi="Garamond" w:cs="Arial"/>
      <w:b/>
      <w:bCs/>
      <w:sz w:val="36"/>
      <w:szCs w:val="24"/>
      <w:lang w:eastAsia="es-ES"/>
    </w:rPr>
  </w:style>
  <w:style w:type="character" w:customStyle="1" w:styleId="TextonotapieCar2">
    <w:name w:val="Texto nota pie Car2"/>
    <w:aliases w:val="fn Car2,footnotes Car2,Footnotes Car2,fn1 Car2,fn2 Car2,footnote text1 Car2,fn3 Car2,footnote text2 Car2,Texto nota pie Car Car3,Car Car Car Car Car Car3,Car Car Car Car Car3,Car Car Car Car Car Car Car Car3,Arial  Car"/>
    <w:semiHidden/>
    <w:locked/>
    <w:rsid w:val="002D3992"/>
    <w:rPr>
      <w:lang w:val="x-none" w:eastAsia="ca-ES" w:bidi="ar-SA"/>
    </w:rPr>
  </w:style>
  <w:style w:type="character" w:customStyle="1" w:styleId="CURSIVAS">
    <w:name w:val="_CURSIVAS"/>
    <w:rsid w:val="00FC5435"/>
    <w:rPr>
      <w:rFonts w:ascii="Garamond" w:hAnsi="Garamond"/>
      <w:i/>
      <w:color w:val="auto"/>
    </w:rPr>
  </w:style>
  <w:style w:type="paragraph" w:styleId="Textodeglobo">
    <w:name w:val="Balloon Text"/>
    <w:basedOn w:val="Normal"/>
    <w:link w:val="TextodegloboCar"/>
    <w:uiPriority w:val="99"/>
    <w:semiHidden/>
    <w:unhideWhenUsed/>
    <w:rsid w:val="00FB47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4720"/>
    <w:rPr>
      <w:rFonts w:ascii="Segoe UI" w:hAnsi="Segoe UI" w:cs="Segoe UI"/>
      <w:sz w:val="18"/>
      <w:szCs w:val="18"/>
    </w:rPr>
  </w:style>
  <w:style w:type="paragraph" w:styleId="Textonotaalfinal">
    <w:name w:val="endnote text"/>
    <w:basedOn w:val="Normal"/>
    <w:link w:val="TextonotaalfinalCar"/>
    <w:uiPriority w:val="99"/>
    <w:semiHidden/>
    <w:unhideWhenUsed/>
    <w:rsid w:val="00EE3F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3FF7"/>
    <w:rPr>
      <w:sz w:val="20"/>
      <w:szCs w:val="20"/>
    </w:rPr>
  </w:style>
  <w:style w:type="character" w:styleId="Refdenotaalfinal">
    <w:name w:val="endnote reference"/>
    <w:basedOn w:val="Fuentedeprrafopredeter"/>
    <w:uiPriority w:val="99"/>
    <w:semiHidden/>
    <w:unhideWhenUsed/>
    <w:rsid w:val="00EE3FF7"/>
    <w:rPr>
      <w:vertAlign w:val="superscript"/>
    </w:rPr>
  </w:style>
  <w:style w:type="paragraph" w:styleId="Textocomentario">
    <w:name w:val="annotation text"/>
    <w:basedOn w:val="Normal"/>
    <w:link w:val="TextocomentarioCar"/>
    <w:uiPriority w:val="99"/>
    <w:semiHidden/>
    <w:unhideWhenUsed/>
    <w:rsid w:val="00EE3FF7"/>
    <w:pPr>
      <w:spacing w:after="0" w:line="240" w:lineRule="auto"/>
      <w:ind w:firstLine="709"/>
      <w:jc w:val="both"/>
    </w:pPr>
    <w:rPr>
      <w:rFonts w:ascii="Times New Roman" w:eastAsia="Times New Roman" w:hAnsi="Times New Roman" w:cs="Times New Roman"/>
      <w:sz w:val="24"/>
      <w:szCs w:val="24"/>
      <w:lang w:eastAsia="es-ES"/>
    </w:rPr>
  </w:style>
  <w:style w:type="character" w:customStyle="1" w:styleId="TextocomentarioCar">
    <w:name w:val="Texto comentario Car"/>
    <w:basedOn w:val="Fuentedeprrafopredeter"/>
    <w:link w:val="Textocomentario"/>
    <w:uiPriority w:val="99"/>
    <w:semiHidden/>
    <w:rsid w:val="00EE3FF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8437">
      <w:bodyDiv w:val="1"/>
      <w:marLeft w:val="0"/>
      <w:marRight w:val="0"/>
      <w:marTop w:val="0"/>
      <w:marBottom w:val="0"/>
      <w:divBdr>
        <w:top w:val="none" w:sz="0" w:space="0" w:color="auto"/>
        <w:left w:val="none" w:sz="0" w:space="0" w:color="auto"/>
        <w:bottom w:val="none" w:sz="0" w:space="0" w:color="auto"/>
        <w:right w:val="none" w:sz="0" w:space="0" w:color="auto"/>
      </w:divBdr>
    </w:div>
    <w:div w:id="833685045">
      <w:bodyDiv w:val="1"/>
      <w:marLeft w:val="0"/>
      <w:marRight w:val="0"/>
      <w:marTop w:val="0"/>
      <w:marBottom w:val="0"/>
      <w:divBdr>
        <w:top w:val="none" w:sz="0" w:space="0" w:color="auto"/>
        <w:left w:val="none" w:sz="0" w:space="0" w:color="auto"/>
        <w:bottom w:val="none" w:sz="0" w:space="0" w:color="auto"/>
        <w:right w:val="none" w:sz="0" w:space="0" w:color="auto"/>
      </w:divBdr>
    </w:div>
    <w:div w:id="952786670">
      <w:bodyDiv w:val="1"/>
      <w:marLeft w:val="0"/>
      <w:marRight w:val="0"/>
      <w:marTop w:val="0"/>
      <w:marBottom w:val="0"/>
      <w:divBdr>
        <w:top w:val="none" w:sz="0" w:space="0" w:color="auto"/>
        <w:left w:val="none" w:sz="0" w:space="0" w:color="auto"/>
        <w:bottom w:val="none" w:sz="0" w:space="0" w:color="auto"/>
        <w:right w:val="none" w:sz="0" w:space="0" w:color="auto"/>
      </w:divBdr>
    </w:div>
    <w:div w:id="985936436">
      <w:bodyDiv w:val="1"/>
      <w:marLeft w:val="0"/>
      <w:marRight w:val="0"/>
      <w:marTop w:val="0"/>
      <w:marBottom w:val="0"/>
      <w:divBdr>
        <w:top w:val="none" w:sz="0" w:space="0" w:color="auto"/>
        <w:left w:val="none" w:sz="0" w:space="0" w:color="auto"/>
        <w:bottom w:val="none" w:sz="0" w:space="0" w:color="auto"/>
        <w:right w:val="none" w:sz="0" w:space="0" w:color="auto"/>
      </w:divBdr>
    </w:div>
    <w:div w:id="1099527776">
      <w:bodyDiv w:val="1"/>
      <w:marLeft w:val="0"/>
      <w:marRight w:val="0"/>
      <w:marTop w:val="0"/>
      <w:marBottom w:val="0"/>
      <w:divBdr>
        <w:top w:val="none" w:sz="0" w:space="0" w:color="auto"/>
        <w:left w:val="none" w:sz="0" w:space="0" w:color="auto"/>
        <w:bottom w:val="none" w:sz="0" w:space="0" w:color="auto"/>
        <w:right w:val="none" w:sz="0" w:space="0" w:color="auto"/>
      </w:divBdr>
    </w:div>
    <w:div w:id="1673336570">
      <w:bodyDiv w:val="1"/>
      <w:marLeft w:val="0"/>
      <w:marRight w:val="0"/>
      <w:marTop w:val="0"/>
      <w:marBottom w:val="0"/>
      <w:divBdr>
        <w:top w:val="none" w:sz="0" w:space="0" w:color="auto"/>
        <w:left w:val="none" w:sz="0" w:space="0" w:color="auto"/>
        <w:bottom w:val="none" w:sz="0" w:space="0" w:color="auto"/>
        <w:right w:val="none" w:sz="0" w:space="0" w:color="auto"/>
      </w:divBdr>
    </w:div>
    <w:div w:id="19799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servlet/revista?codigo=1891" TargetMode="External"/><Relationship Id="rId5" Type="http://schemas.openxmlformats.org/officeDocument/2006/relationships/settings" Target="settings.xml"/><Relationship Id="rId10" Type="http://schemas.openxmlformats.org/officeDocument/2006/relationships/hyperlink" Target="https://dialnet.unirioja.es/servlet/revista?codigo=10790" TargetMode="External"/><Relationship Id="rId4" Type="http://schemas.microsoft.com/office/2007/relationships/stylesWithEffects" Target="stylesWithEffects.xml"/><Relationship Id="rId9" Type="http://schemas.openxmlformats.org/officeDocument/2006/relationships/hyperlink" Target="https://dialnet.unirioja.es/servlet/revista?codigo=189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ortaljuridic.gencat.cat/ca/pjur_ocults/pjur_resultats_fitxa?action=fitxa&amp;documentId=7822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9BCF8-57A3-423D-8275-96B85CAE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14150</Words>
  <Characters>77827</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Nacho</cp:lastModifiedBy>
  <cp:revision>5</cp:revision>
  <cp:lastPrinted>2018-11-16T10:18:00Z</cp:lastPrinted>
  <dcterms:created xsi:type="dcterms:W3CDTF">2019-01-08T09:01:00Z</dcterms:created>
  <dcterms:modified xsi:type="dcterms:W3CDTF">2019-03-04T16:18:00Z</dcterms:modified>
</cp:coreProperties>
</file>