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80" w:rsidRPr="00640A47" w:rsidRDefault="005B21EC" w:rsidP="00640A47">
      <w:pPr>
        <w:spacing w:line="312" w:lineRule="auto"/>
        <w:jc w:val="center"/>
        <w:rPr>
          <w:rFonts w:cstheme="minorHAnsi"/>
          <w:b/>
          <w:sz w:val="24"/>
          <w:szCs w:val="24"/>
        </w:rPr>
      </w:pPr>
      <w:r w:rsidRPr="00640A47">
        <w:rPr>
          <w:rFonts w:cstheme="minorHAnsi"/>
          <w:b/>
          <w:sz w:val="24"/>
          <w:szCs w:val="24"/>
        </w:rPr>
        <w:t xml:space="preserve">LAS FAMILIAS RECONSTITUIDAS Y </w:t>
      </w:r>
      <w:r w:rsidR="00366122" w:rsidRPr="00640A47">
        <w:rPr>
          <w:rFonts w:cstheme="minorHAnsi"/>
          <w:b/>
          <w:sz w:val="24"/>
          <w:szCs w:val="24"/>
        </w:rPr>
        <w:t>LA SUCESIÓN A TÍTULO LEGAL</w:t>
      </w:r>
      <w:r w:rsidR="00087310" w:rsidRPr="00640A47">
        <w:rPr>
          <w:rStyle w:val="Refdenotaalpie"/>
          <w:rFonts w:cstheme="minorHAnsi"/>
          <w:b/>
          <w:sz w:val="24"/>
          <w:szCs w:val="24"/>
        </w:rPr>
        <w:footnoteReference w:id="1"/>
      </w:r>
    </w:p>
    <w:p w:rsidR="005B21EC" w:rsidRPr="00640A47" w:rsidRDefault="005B21EC" w:rsidP="00640A47">
      <w:pPr>
        <w:spacing w:line="312" w:lineRule="auto"/>
        <w:jc w:val="center"/>
        <w:rPr>
          <w:rFonts w:cstheme="minorHAnsi"/>
          <w:sz w:val="24"/>
          <w:szCs w:val="24"/>
        </w:rPr>
      </w:pPr>
    </w:p>
    <w:p w:rsidR="00087310" w:rsidRPr="00640A47" w:rsidRDefault="00087310" w:rsidP="00640A47">
      <w:pPr>
        <w:spacing w:after="0" w:line="312" w:lineRule="auto"/>
        <w:jc w:val="center"/>
        <w:rPr>
          <w:rFonts w:cstheme="minorHAnsi"/>
          <w:i/>
          <w:sz w:val="24"/>
          <w:szCs w:val="24"/>
        </w:rPr>
      </w:pPr>
      <w:r w:rsidRPr="00640A47">
        <w:rPr>
          <w:rFonts w:cstheme="minorHAnsi"/>
          <w:i/>
          <w:sz w:val="24"/>
          <w:szCs w:val="24"/>
        </w:rPr>
        <w:t>Antoni VAQUER ALOY</w:t>
      </w:r>
    </w:p>
    <w:p w:rsidR="00087310" w:rsidRPr="00640A47" w:rsidRDefault="00087310" w:rsidP="00640A47">
      <w:pPr>
        <w:spacing w:line="312" w:lineRule="auto"/>
        <w:jc w:val="center"/>
        <w:rPr>
          <w:rFonts w:cstheme="minorHAnsi"/>
          <w:sz w:val="24"/>
          <w:szCs w:val="24"/>
        </w:rPr>
      </w:pPr>
      <w:r w:rsidRPr="00640A47">
        <w:rPr>
          <w:rFonts w:cstheme="minorHAnsi"/>
          <w:sz w:val="24"/>
          <w:szCs w:val="24"/>
        </w:rPr>
        <w:t>Catedrático de derecho civil. Universidad de Lleida</w:t>
      </w:r>
    </w:p>
    <w:p w:rsidR="00087310" w:rsidRPr="00640A47" w:rsidRDefault="00087310" w:rsidP="00640A47">
      <w:pPr>
        <w:spacing w:after="0" w:line="312" w:lineRule="auto"/>
        <w:jc w:val="center"/>
        <w:rPr>
          <w:rFonts w:cstheme="minorHAnsi"/>
          <w:i/>
          <w:sz w:val="24"/>
          <w:szCs w:val="24"/>
        </w:rPr>
      </w:pPr>
      <w:r w:rsidRPr="00640A47">
        <w:rPr>
          <w:rFonts w:cstheme="minorHAnsi"/>
          <w:i/>
          <w:sz w:val="24"/>
          <w:szCs w:val="24"/>
        </w:rPr>
        <w:t>Noelia IBARZ LÓPEZ</w:t>
      </w:r>
    </w:p>
    <w:p w:rsidR="00087310" w:rsidRPr="0000374B" w:rsidRDefault="00087310" w:rsidP="00640A47">
      <w:pPr>
        <w:spacing w:line="312" w:lineRule="auto"/>
        <w:jc w:val="center"/>
        <w:rPr>
          <w:rFonts w:cstheme="minorHAnsi"/>
          <w:sz w:val="24"/>
          <w:szCs w:val="24"/>
          <w:lang w:val="en-US"/>
        </w:rPr>
      </w:pPr>
      <w:r w:rsidRPr="00640A47">
        <w:rPr>
          <w:rFonts w:cstheme="minorHAnsi"/>
          <w:sz w:val="24"/>
          <w:szCs w:val="24"/>
        </w:rPr>
        <w:t>Graduada en derecho</w:t>
      </w:r>
      <w:r w:rsidR="008E2D47" w:rsidRPr="00640A47">
        <w:rPr>
          <w:rFonts w:cstheme="minorHAnsi"/>
          <w:sz w:val="24"/>
          <w:szCs w:val="24"/>
        </w:rPr>
        <w:t xml:space="preserve">. </w:t>
      </w:r>
      <w:r w:rsidR="008E2D47" w:rsidRPr="0000374B">
        <w:rPr>
          <w:rFonts w:cstheme="minorHAnsi"/>
          <w:sz w:val="24"/>
          <w:szCs w:val="24"/>
          <w:lang w:val="en-US"/>
        </w:rPr>
        <w:t>Universidad de Lleida</w:t>
      </w:r>
    </w:p>
    <w:p w:rsidR="00087310" w:rsidRPr="0000374B" w:rsidRDefault="00087310" w:rsidP="00640A47">
      <w:pPr>
        <w:spacing w:line="312" w:lineRule="auto"/>
        <w:jc w:val="center"/>
        <w:rPr>
          <w:rFonts w:cstheme="minorHAnsi"/>
          <w:sz w:val="24"/>
          <w:szCs w:val="24"/>
          <w:lang w:val="en-US"/>
        </w:rPr>
      </w:pPr>
    </w:p>
    <w:p w:rsidR="00087310" w:rsidRPr="0000374B" w:rsidRDefault="00087310" w:rsidP="00640A47">
      <w:pPr>
        <w:spacing w:line="312" w:lineRule="auto"/>
        <w:jc w:val="both"/>
        <w:rPr>
          <w:rFonts w:cstheme="minorHAnsi"/>
          <w:b/>
          <w:sz w:val="24"/>
          <w:szCs w:val="24"/>
          <w:lang w:val="en-US"/>
        </w:rPr>
      </w:pPr>
    </w:p>
    <w:p w:rsidR="00F72D1E" w:rsidRPr="0000374B" w:rsidRDefault="0000374B" w:rsidP="00640A47">
      <w:pPr>
        <w:spacing w:line="312" w:lineRule="auto"/>
        <w:jc w:val="both"/>
        <w:rPr>
          <w:rFonts w:cstheme="minorHAnsi"/>
          <w:b/>
          <w:i/>
          <w:sz w:val="24"/>
          <w:szCs w:val="24"/>
          <w:lang w:val="en-US"/>
        </w:rPr>
      </w:pPr>
      <w:r w:rsidRPr="0000374B">
        <w:rPr>
          <w:rFonts w:cstheme="minorHAnsi"/>
          <w:b/>
          <w:i/>
          <w:sz w:val="24"/>
          <w:szCs w:val="24"/>
          <w:lang w:val="en-US"/>
        </w:rPr>
        <w:t xml:space="preserve">TITLE: </w:t>
      </w:r>
      <w:r w:rsidRPr="00916C01">
        <w:rPr>
          <w:rFonts w:cstheme="minorHAnsi"/>
          <w:i/>
          <w:sz w:val="24"/>
          <w:szCs w:val="24"/>
          <w:lang w:val="en-US"/>
        </w:rPr>
        <w:t>BLENDED FAMILIES AND LEGAL SUCCESSION</w:t>
      </w:r>
    </w:p>
    <w:p w:rsidR="0000374B" w:rsidRDefault="0000374B" w:rsidP="00640A47">
      <w:pPr>
        <w:spacing w:line="312" w:lineRule="auto"/>
        <w:jc w:val="both"/>
        <w:rPr>
          <w:rFonts w:cstheme="minorHAnsi"/>
          <w:sz w:val="24"/>
          <w:szCs w:val="24"/>
        </w:rPr>
      </w:pPr>
      <w:r w:rsidRPr="0000374B">
        <w:rPr>
          <w:rFonts w:cstheme="minorHAnsi"/>
          <w:b/>
          <w:sz w:val="24"/>
          <w:szCs w:val="24"/>
        </w:rPr>
        <w:t xml:space="preserve">RESUMEN: </w:t>
      </w:r>
      <w:r w:rsidRPr="00BC6589">
        <w:rPr>
          <w:rFonts w:cstheme="minorHAnsi"/>
          <w:sz w:val="24"/>
          <w:szCs w:val="24"/>
        </w:rPr>
        <w:t>Las familias reconstituidas constituyen una realidad creciente que empieza a ser reconocida en diversos ámbitos preferentemente del derecho público. Sin embargo, hasta la fecha todavía no tienen reconocido ningún derecho sucesorio legal. Teniendo en cuent</w:t>
      </w:r>
      <w:r w:rsidR="00BC6589">
        <w:rPr>
          <w:rFonts w:cstheme="minorHAnsi"/>
          <w:sz w:val="24"/>
          <w:szCs w:val="24"/>
        </w:rPr>
        <w:t>a</w:t>
      </w:r>
      <w:r w:rsidRPr="00BC6589">
        <w:rPr>
          <w:rFonts w:cstheme="minorHAnsi"/>
          <w:sz w:val="24"/>
          <w:szCs w:val="24"/>
        </w:rPr>
        <w:t xml:space="preserve"> la experiencia comparada en Inglaterra y Estados Unidos, los autores efectúan propuestas de </w:t>
      </w:r>
      <w:proofErr w:type="spellStart"/>
      <w:r w:rsidRPr="00BC6589">
        <w:rPr>
          <w:rFonts w:cstheme="minorHAnsi"/>
          <w:i/>
          <w:sz w:val="24"/>
          <w:szCs w:val="24"/>
        </w:rPr>
        <w:t>lege</w:t>
      </w:r>
      <w:proofErr w:type="spellEnd"/>
      <w:r w:rsidRPr="00BC6589">
        <w:rPr>
          <w:rFonts w:cstheme="minorHAnsi"/>
          <w:i/>
          <w:sz w:val="24"/>
          <w:szCs w:val="24"/>
        </w:rPr>
        <w:t xml:space="preserve"> </w:t>
      </w:r>
      <w:proofErr w:type="spellStart"/>
      <w:r w:rsidRPr="00BC6589">
        <w:rPr>
          <w:rFonts w:cstheme="minorHAnsi"/>
          <w:i/>
          <w:sz w:val="24"/>
          <w:szCs w:val="24"/>
        </w:rPr>
        <w:t>ferenda</w:t>
      </w:r>
      <w:proofErr w:type="spellEnd"/>
      <w:r w:rsidRPr="00BC6589">
        <w:rPr>
          <w:rFonts w:cstheme="minorHAnsi"/>
          <w:i/>
          <w:sz w:val="24"/>
          <w:szCs w:val="24"/>
        </w:rPr>
        <w:t xml:space="preserve"> </w:t>
      </w:r>
      <w:r w:rsidRPr="00BC6589">
        <w:rPr>
          <w:rFonts w:cstheme="minorHAnsi"/>
          <w:sz w:val="24"/>
          <w:szCs w:val="24"/>
        </w:rPr>
        <w:t>para los derechos de sucesiones vigentes en España.</w:t>
      </w:r>
    </w:p>
    <w:p w:rsidR="00BC6589" w:rsidRDefault="00BC6589" w:rsidP="00640A47">
      <w:pPr>
        <w:spacing w:line="312" w:lineRule="auto"/>
        <w:jc w:val="both"/>
        <w:rPr>
          <w:rFonts w:cstheme="minorHAnsi"/>
          <w:sz w:val="24"/>
          <w:szCs w:val="24"/>
          <w:lang w:val="en-US"/>
        </w:rPr>
      </w:pPr>
      <w:r w:rsidRPr="00BC6589">
        <w:rPr>
          <w:rFonts w:cstheme="minorHAnsi"/>
          <w:b/>
          <w:sz w:val="24"/>
          <w:szCs w:val="24"/>
          <w:lang w:val="en-US"/>
        </w:rPr>
        <w:t xml:space="preserve">ABSTRACT: </w:t>
      </w:r>
      <w:r w:rsidRPr="00BC6589">
        <w:rPr>
          <w:rFonts w:cstheme="minorHAnsi"/>
          <w:sz w:val="24"/>
          <w:szCs w:val="24"/>
          <w:lang w:val="en-US"/>
        </w:rPr>
        <w:t xml:space="preserve">Blended families are an increasing reality that is steadily recognized mainly in different legal areas of public law. Yet until now they are not granted any legal succession right. Taking into account the comparative experiences from England and the United States, the authors make proposals </w:t>
      </w:r>
      <w:r w:rsidRPr="00BC6589">
        <w:rPr>
          <w:rFonts w:cstheme="minorHAnsi"/>
          <w:i/>
          <w:sz w:val="24"/>
          <w:szCs w:val="24"/>
          <w:lang w:val="en-US"/>
        </w:rPr>
        <w:t xml:space="preserve">de </w:t>
      </w:r>
      <w:proofErr w:type="spellStart"/>
      <w:r w:rsidRPr="00BC6589">
        <w:rPr>
          <w:rFonts w:cstheme="minorHAnsi"/>
          <w:i/>
          <w:sz w:val="24"/>
          <w:szCs w:val="24"/>
          <w:lang w:val="en-US"/>
        </w:rPr>
        <w:t>lege</w:t>
      </w:r>
      <w:proofErr w:type="spellEnd"/>
      <w:r w:rsidRPr="00BC6589">
        <w:rPr>
          <w:rFonts w:cstheme="minorHAnsi"/>
          <w:i/>
          <w:sz w:val="24"/>
          <w:szCs w:val="24"/>
          <w:lang w:val="en-US"/>
        </w:rPr>
        <w:t xml:space="preserve"> </w:t>
      </w:r>
      <w:proofErr w:type="spellStart"/>
      <w:r w:rsidRPr="00BC6589">
        <w:rPr>
          <w:rFonts w:cstheme="minorHAnsi"/>
          <w:i/>
          <w:sz w:val="24"/>
          <w:szCs w:val="24"/>
          <w:lang w:val="en-US"/>
        </w:rPr>
        <w:t>ferenda</w:t>
      </w:r>
      <w:proofErr w:type="spellEnd"/>
      <w:r w:rsidRPr="00BC6589">
        <w:rPr>
          <w:rFonts w:cstheme="minorHAnsi"/>
          <w:i/>
          <w:sz w:val="24"/>
          <w:szCs w:val="24"/>
          <w:lang w:val="en-US"/>
        </w:rPr>
        <w:t xml:space="preserve"> </w:t>
      </w:r>
      <w:r w:rsidRPr="00BC6589">
        <w:rPr>
          <w:rFonts w:cstheme="minorHAnsi"/>
          <w:sz w:val="24"/>
          <w:szCs w:val="24"/>
          <w:lang w:val="en-US"/>
        </w:rPr>
        <w:t>for the laws of succession in force in Spain.</w:t>
      </w:r>
    </w:p>
    <w:p w:rsidR="00BC6589" w:rsidRDefault="00BC6589" w:rsidP="00640A47">
      <w:pPr>
        <w:spacing w:line="312" w:lineRule="auto"/>
        <w:jc w:val="both"/>
        <w:rPr>
          <w:rFonts w:cstheme="minorHAnsi"/>
          <w:sz w:val="24"/>
          <w:szCs w:val="24"/>
        </w:rPr>
      </w:pPr>
      <w:r w:rsidRPr="00BC6589">
        <w:rPr>
          <w:rFonts w:cstheme="minorHAnsi"/>
          <w:b/>
          <w:sz w:val="24"/>
          <w:szCs w:val="24"/>
        </w:rPr>
        <w:t>PALABRAS CLAVE:</w:t>
      </w:r>
      <w:r w:rsidRPr="00BC6589">
        <w:rPr>
          <w:rFonts w:cstheme="minorHAnsi"/>
          <w:sz w:val="24"/>
          <w:szCs w:val="24"/>
        </w:rPr>
        <w:t xml:space="preserve"> Familias reconstituidas. Sucesiones. </w:t>
      </w:r>
      <w:r>
        <w:rPr>
          <w:rFonts w:cstheme="minorHAnsi"/>
          <w:sz w:val="24"/>
          <w:szCs w:val="24"/>
        </w:rPr>
        <w:t>Sucesión intestada. Legítima.</w:t>
      </w:r>
    </w:p>
    <w:p w:rsidR="00BC6589" w:rsidRPr="00BC6589" w:rsidRDefault="00BC6589" w:rsidP="00640A47">
      <w:pPr>
        <w:spacing w:line="312" w:lineRule="auto"/>
        <w:jc w:val="both"/>
        <w:rPr>
          <w:rFonts w:cstheme="minorHAnsi"/>
          <w:i/>
          <w:sz w:val="24"/>
          <w:szCs w:val="24"/>
        </w:rPr>
      </w:pPr>
      <w:r>
        <w:rPr>
          <w:rFonts w:cstheme="minorHAnsi"/>
          <w:b/>
          <w:sz w:val="24"/>
          <w:szCs w:val="24"/>
        </w:rPr>
        <w:t xml:space="preserve">KEY WORDS: </w:t>
      </w:r>
      <w:proofErr w:type="spellStart"/>
      <w:r w:rsidRPr="00BC6589">
        <w:rPr>
          <w:rFonts w:cstheme="minorHAnsi"/>
          <w:i/>
          <w:sz w:val="24"/>
          <w:szCs w:val="24"/>
        </w:rPr>
        <w:t>Blended</w:t>
      </w:r>
      <w:proofErr w:type="spellEnd"/>
      <w:r w:rsidRPr="00BC6589">
        <w:rPr>
          <w:rFonts w:cstheme="minorHAnsi"/>
          <w:i/>
          <w:sz w:val="24"/>
          <w:szCs w:val="24"/>
        </w:rPr>
        <w:t xml:space="preserve"> </w:t>
      </w:r>
      <w:proofErr w:type="spellStart"/>
      <w:r w:rsidRPr="00BC6589">
        <w:rPr>
          <w:rFonts w:cstheme="minorHAnsi"/>
          <w:i/>
          <w:sz w:val="24"/>
          <w:szCs w:val="24"/>
        </w:rPr>
        <w:t>families</w:t>
      </w:r>
      <w:proofErr w:type="spellEnd"/>
      <w:r w:rsidRPr="00BC6589">
        <w:rPr>
          <w:rFonts w:cstheme="minorHAnsi"/>
          <w:i/>
          <w:sz w:val="24"/>
          <w:szCs w:val="24"/>
        </w:rPr>
        <w:t xml:space="preserve">. </w:t>
      </w:r>
      <w:proofErr w:type="spellStart"/>
      <w:r w:rsidRPr="00BC6589">
        <w:rPr>
          <w:rFonts w:cstheme="minorHAnsi"/>
          <w:i/>
          <w:sz w:val="24"/>
          <w:szCs w:val="24"/>
        </w:rPr>
        <w:t>Successions</w:t>
      </w:r>
      <w:proofErr w:type="spellEnd"/>
      <w:r w:rsidRPr="00BC6589">
        <w:rPr>
          <w:rFonts w:cstheme="minorHAnsi"/>
          <w:i/>
          <w:sz w:val="24"/>
          <w:szCs w:val="24"/>
        </w:rPr>
        <w:t xml:space="preserve">. </w:t>
      </w:r>
      <w:proofErr w:type="spellStart"/>
      <w:r w:rsidRPr="00BC6589">
        <w:rPr>
          <w:rFonts w:cstheme="minorHAnsi"/>
          <w:i/>
          <w:sz w:val="24"/>
          <w:szCs w:val="24"/>
        </w:rPr>
        <w:t>Intestate</w:t>
      </w:r>
      <w:proofErr w:type="spellEnd"/>
      <w:r w:rsidRPr="00BC6589">
        <w:rPr>
          <w:rFonts w:cstheme="minorHAnsi"/>
          <w:i/>
          <w:sz w:val="24"/>
          <w:szCs w:val="24"/>
        </w:rPr>
        <w:t xml:space="preserve"> </w:t>
      </w:r>
      <w:proofErr w:type="spellStart"/>
      <w:r w:rsidRPr="00BC6589">
        <w:rPr>
          <w:rFonts w:cstheme="minorHAnsi"/>
          <w:i/>
          <w:sz w:val="24"/>
          <w:szCs w:val="24"/>
        </w:rPr>
        <w:t>Succession</w:t>
      </w:r>
      <w:proofErr w:type="spellEnd"/>
      <w:r w:rsidRPr="00BC6589">
        <w:rPr>
          <w:rFonts w:cstheme="minorHAnsi"/>
          <w:i/>
          <w:sz w:val="24"/>
          <w:szCs w:val="24"/>
        </w:rPr>
        <w:t xml:space="preserve">. </w:t>
      </w:r>
      <w:proofErr w:type="spellStart"/>
      <w:r w:rsidRPr="00BC6589">
        <w:rPr>
          <w:rFonts w:cstheme="minorHAnsi"/>
          <w:i/>
          <w:sz w:val="24"/>
          <w:szCs w:val="24"/>
        </w:rPr>
        <w:t>Compulsory</w:t>
      </w:r>
      <w:proofErr w:type="spellEnd"/>
      <w:r w:rsidRPr="00BC6589">
        <w:rPr>
          <w:rFonts w:cstheme="minorHAnsi"/>
          <w:i/>
          <w:sz w:val="24"/>
          <w:szCs w:val="24"/>
        </w:rPr>
        <w:t xml:space="preserve"> Share.</w:t>
      </w:r>
    </w:p>
    <w:p w:rsidR="0000374B" w:rsidRPr="00BC6589" w:rsidRDefault="0000374B" w:rsidP="00640A47">
      <w:pPr>
        <w:spacing w:line="312" w:lineRule="auto"/>
        <w:jc w:val="both"/>
        <w:rPr>
          <w:rFonts w:cstheme="minorHAnsi"/>
          <w:b/>
          <w:sz w:val="24"/>
          <w:szCs w:val="24"/>
        </w:rPr>
      </w:pPr>
    </w:p>
    <w:p w:rsidR="006D3947" w:rsidRPr="006D3947" w:rsidRDefault="00F72D1E" w:rsidP="006D3947">
      <w:pPr>
        <w:spacing w:line="312" w:lineRule="auto"/>
        <w:jc w:val="both"/>
        <w:rPr>
          <w:rFonts w:cstheme="minorHAnsi"/>
          <w:b/>
          <w:i/>
          <w:color w:val="000000" w:themeColor="text1"/>
          <w:sz w:val="24"/>
          <w:szCs w:val="24"/>
        </w:rPr>
      </w:pPr>
      <w:r w:rsidRPr="00F72D1E">
        <w:rPr>
          <w:rFonts w:cstheme="minorHAnsi"/>
          <w:b/>
          <w:sz w:val="24"/>
          <w:szCs w:val="24"/>
        </w:rPr>
        <w:t>SUMARIO:</w:t>
      </w:r>
      <w:r>
        <w:rPr>
          <w:rFonts w:cstheme="minorHAnsi"/>
          <w:b/>
          <w:sz w:val="24"/>
          <w:szCs w:val="24"/>
        </w:rPr>
        <w:t xml:space="preserve"> </w:t>
      </w:r>
      <w:r w:rsidRPr="0000374B">
        <w:rPr>
          <w:rFonts w:cstheme="minorHAnsi"/>
          <w:sz w:val="24"/>
          <w:szCs w:val="24"/>
        </w:rPr>
        <w:t xml:space="preserve">1. </w:t>
      </w:r>
      <w:r w:rsidR="006D3947" w:rsidRPr="0000374B">
        <w:rPr>
          <w:rFonts w:cstheme="minorHAnsi"/>
          <w:smallCaps/>
          <w:sz w:val="24"/>
          <w:szCs w:val="24"/>
        </w:rPr>
        <w:t xml:space="preserve">Propósito. 2. Las familias reconstituidas en los derechos de familia y de sucesiones vigentes en </w:t>
      </w:r>
      <w:proofErr w:type="spellStart"/>
      <w:r w:rsidR="006D3947" w:rsidRPr="0000374B">
        <w:rPr>
          <w:rFonts w:cstheme="minorHAnsi"/>
          <w:smallCaps/>
          <w:sz w:val="24"/>
          <w:szCs w:val="24"/>
        </w:rPr>
        <w:t>españa</w:t>
      </w:r>
      <w:proofErr w:type="spellEnd"/>
      <w:r w:rsidR="006D3947" w:rsidRPr="0000374B">
        <w:rPr>
          <w:rFonts w:cstheme="minorHAnsi"/>
          <w:smallCaps/>
          <w:sz w:val="24"/>
          <w:szCs w:val="24"/>
        </w:rPr>
        <w:t>.</w:t>
      </w:r>
      <w:r w:rsidR="006D3947" w:rsidRPr="0000374B">
        <w:rPr>
          <w:rFonts w:cstheme="minorHAnsi"/>
          <w:sz w:val="24"/>
          <w:szCs w:val="24"/>
        </w:rPr>
        <w:t xml:space="preserve"> </w:t>
      </w:r>
      <w:r w:rsidR="006D3947" w:rsidRPr="0000374B">
        <w:rPr>
          <w:rFonts w:cstheme="minorHAnsi"/>
          <w:i/>
          <w:sz w:val="24"/>
          <w:szCs w:val="24"/>
        </w:rPr>
        <w:t xml:space="preserve">2.1. Derecho estatal. 2.2. El Código civil de Cataluña. 2.3. El Código Foral de Aragón. 2.4. La Compilación del Derecho civil de Navarra. </w:t>
      </w:r>
      <w:r w:rsidR="006D3947" w:rsidRPr="0000374B">
        <w:rPr>
          <w:rFonts w:cstheme="minorHAnsi"/>
          <w:sz w:val="24"/>
          <w:szCs w:val="24"/>
        </w:rPr>
        <w:t xml:space="preserve">3. </w:t>
      </w:r>
      <w:r w:rsidR="006D3947" w:rsidRPr="0000374B">
        <w:rPr>
          <w:rFonts w:cstheme="minorHAnsi"/>
          <w:smallCaps/>
          <w:sz w:val="24"/>
          <w:szCs w:val="24"/>
        </w:rPr>
        <w:t>Dos ejemplos en el derecho comparado</w:t>
      </w:r>
      <w:r w:rsidR="006D3947" w:rsidRPr="0000374B">
        <w:rPr>
          <w:rFonts w:cstheme="minorHAnsi"/>
          <w:sz w:val="24"/>
          <w:szCs w:val="24"/>
        </w:rPr>
        <w:t xml:space="preserve">. </w:t>
      </w:r>
      <w:r w:rsidR="006D3947" w:rsidRPr="0000374B">
        <w:rPr>
          <w:rFonts w:cstheme="minorHAnsi"/>
          <w:i/>
          <w:sz w:val="24"/>
          <w:szCs w:val="24"/>
          <w:lang w:val="en-US"/>
        </w:rPr>
        <w:t xml:space="preserve">3.1. La family provision a favor </w:t>
      </w:r>
      <w:proofErr w:type="gramStart"/>
      <w:r w:rsidR="006D3947" w:rsidRPr="0000374B">
        <w:rPr>
          <w:rFonts w:cstheme="minorHAnsi"/>
          <w:i/>
          <w:sz w:val="24"/>
          <w:szCs w:val="24"/>
          <w:lang w:val="en-US"/>
        </w:rPr>
        <w:t>del</w:t>
      </w:r>
      <w:proofErr w:type="gramEnd"/>
      <w:r w:rsidR="006D3947" w:rsidRPr="0000374B">
        <w:rPr>
          <w:rFonts w:cstheme="minorHAnsi"/>
          <w:i/>
          <w:sz w:val="24"/>
          <w:szCs w:val="24"/>
          <w:lang w:val="en-US"/>
        </w:rPr>
        <w:t xml:space="preserve"> </w:t>
      </w:r>
      <w:r w:rsidR="006D3947" w:rsidRPr="0000374B">
        <w:rPr>
          <w:rFonts w:cstheme="minorHAnsi"/>
          <w:sz w:val="24"/>
          <w:szCs w:val="24"/>
          <w:lang w:val="en-US"/>
        </w:rPr>
        <w:t>child of the family</w:t>
      </w:r>
      <w:r w:rsidR="006D3947" w:rsidRPr="0000374B">
        <w:rPr>
          <w:rFonts w:cstheme="minorHAnsi"/>
          <w:i/>
          <w:sz w:val="24"/>
          <w:szCs w:val="24"/>
          <w:lang w:val="en-US"/>
        </w:rPr>
        <w:t xml:space="preserve">. </w:t>
      </w:r>
      <w:r w:rsidR="006D3947" w:rsidRPr="0000374B">
        <w:rPr>
          <w:rFonts w:cstheme="minorHAnsi"/>
          <w:i/>
          <w:color w:val="000000" w:themeColor="text1"/>
          <w:sz w:val="24"/>
          <w:szCs w:val="24"/>
        </w:rPr>
        <w:t xml:space="preserve">3.2. El hijastro o hijastra en la sucesión intestada en los Estados Unidos, con especial </w:t>
      </w:r>
      <w:r w:rsidR="006D3947" w:rsidRPr="0000374B">
        <w:rPr>
          <w:rFonts w:cstheme="minorHAnsi"/>
          <w:i/>
          <w:color w:val="000000" w:themeColor="text1"/>
          <w:sz w:val="24"/>
          <w:szCs w:val="24"/>
        </w:rPr>
        <w:lastRenderedPageBreak/>
        <w:t xml:space="preserve">referencia al derecho de California. </w:t>
      </w:r>
      <w:r w:rsidR="006D3947" w:rsidRPr="0000374B">
        <w:rPr>
          <w:rFonts w:cstheme="minorHAnsi"/>
          <w:smallCaps/>
          <w:color w:val="000000" w:themeColor="text1"/>
          <w:sz w:val="24"/>
          <w:szCs w:val="24"/>
        </w:rPr>
        <w:t>4. Algunas propuestas para una eventual reforma legislativa.</w:t>
      </w:r>
      <w:r w:rsidR="006D3947" w:rsidRPr="0000374B">
        <w:rPr>
          <w:rFonts w:cstheme="minorHAnsi"/>
          <w:color w:val="000000" w:themeColor="text1"/>
          <w:sz w:val="24"/>
          <w:szCs w:val="24"/>
        </w:rPr>
        <w:t xml:space="preserve"> </w:t>
      </w:r>
      <w:r w:rsidR="006D3947" w:rsidRPr="0000374B">
        <w:rPr>
          <w:rFonts w:cstheme="minorHAnsi"/>
          <w:i/>
          <w:sz w:val="24"/>
          <w:szCs w:val="24"/>
        </w:rPr>
        <w:t xml:space="preserve">4.1. Sucesión intestada. </w:t>
      </w:r>
      <w:r w:rsidR="006D3947" w:rsidRPr="0000374B">
        <w:rPr>
          <w:rFonts w:cstheme="minorHAnsi"/>
          <w:i/>
          <w:color w:val="000000" w:themeColor="text1"/>
          <w:sz w:val="24"/>
          <w:szCs w:val="24"/>
        </w:rPr>
        <w:t xml:space="preserve">4.2. La legítima. </w:t>
      </w:r>
      <w:r w:rsidR="006D3947" w:rsidRPr="0000374B">
        <w:rPr>
          <w:rFonts w:cstheme="minorHAnsi"/>
          <w:color w:val="000000" w:themeColor="text1"/>
          <w:sz w:val="24"/>
          <w:szCs w:val="24"/>
        </w:rPr>
        <w:t xml:space="preserve">5. </w:t>
      </w:r>
      <w:r w:rsidR="006D3947" w:rsidRPr="0000374B">
        <w:rPr>
          <w:rFonts w:cstheme="minorHAnsi"/>
          <w:smallCaps/>
          <w:color w:val="000000" w:themeColor="text1"/>
          <w:sz w:val="24"/>
          <w:szCs w:val="24"/>
        </w:rPr>
        <w:t>Conclusiones</w:t>
      </w:r>
      <w:r w:rsidR="008562A0">
        <w:rPr>
          <w:rFonts w:cstheme="minorHAnsi"/>
          <w:smallCaps/>
          <w:color w:val="000000" w:themeColor="text1"/>
          <w:sz w:val="24"/>
          <w:szCs w:val="24"/>
        </w:rPr>
        <w:t>. Bibliografía</w:t>
      </w:r>
    </w:p>
    <w:p w:rsidR="00F72D1E" w:rsidRPr="006D3947" w:rsidRDefault="00F72D1E" w:rsidP="00F72D1E">
      <w:pPr>
        <w:spacing w:line="312" w:lineRule="auto"/>
        <w:jc w:val="both"/>
        <w:rPr>
          <w:rFonts w:cstheme="minorHAnsi"/>
          <w:b/>
          <w:i/>
          <w:sz w:val="24"/>
          <w:szCs w:val="24"/>
        </w:rPr>
      </w:pPr>
    </w:p>
    <w:p w:rsidR="00F72D1E" w:rsidRPr="006D3947" w:rsidRDefault="00F72D1E" w:rsidP="00640A47">
      <w:pPr>
        <w:spacing w:line="312" w:lineRule="auto"/>
        <w:jc w:val="both"/>
        <w:rPr>
          <w:rFonts w:cstheme="minorHAnsi"/>
          <w:b/>
          <w:sz w:val="24"/>
          <w:szCs w:val="24"/>
        </w:rPr>
      </w:pPr>
    </w:p>
    <w:p w:rsidR="005B21EC" w:rsidRPr="00640A47" w:rsidRDefault="00511B10" w:rsidP="00640A47">
      <w:pPr>
        <w:spacing w:line="312" w:lineRule="auto"/>
        <w:jc w:val="both"/>
        <w:rPr>
          <w:rFonts w:cstheme="minorHAnsi"/>
          <w:b/>
          <w:sz w:val="24"/>
          <w:szCs w:val="24"/>
        </w:rPr>
      </w:pPr>
      <w:r>
        <w:rPr>
          <w:rFonts w:cstheme="minorHAnsi"/>
          <w:b/>
          <w:sz w:val="24"/>
          <w:szCs w:val="24"/>
        </w:rPr>
        <w:t>1</w:t>
      </w:r>
      <w:r w:rsidR="005B21EC" w:rsidRPr="00640A47">
        <w:rPr>
          <w:rFonts w:cstheme="minorHAnsi"/>
          <w:b/>
          <w:sz w:val="24"/>
          <w:szCs w:val="24"/>
        </w:rPr>
        <w:t>. PROPÓSITO</w:t>
      </w:r>
    </w:p>
    <w:p w:rsidR="005B21EC" w:rsidRPr="00640A47" w:rsidRDefault="005B21EC" w:rsidP="00640A47">
      <w:pPr>
        <w:spacing w:line="312" w:lineRule="auto"/>
        <w:jc w:val="both"/>
        <w:rPr>
          <w:rFonts w:cstheme="minorHAnsi"/>
          <w:sz w:val="24"/>
          <w:szCs w:val="24"/>
        </w:rPr>
      </w:pPr>
      <w:r w:rsidRPr="00640A47">
        <w:rPr>
          <w:rFonts w:cstheme="minorHAnsi"/>
          <w:sz w:val="24"/>
          <w:szCs w:val="24"/>
        </w:rPr>
        <w:tab/>
        <w:t>Las familias reconstituidas son aquellas formadas por los cónyuges o convivientes y los hijos de estos –por lo menos de uno de los cónyuges o convivientes– nacidos de sus relaciones anteriores. A partir de esta definición, hay una pluralidad de posibles tipos de familias reconstituidas, en función de distintas variables –si existe el otro progenitor de los hijos, si ejerce la guarda y, en especial, la guardia compartida, si además de los hijos respectivos los hay comunes, si unos y otros son mayores o menores de edad, etc</w:t>
      </w:r>
      <w:proofErr w:type="gramStart"/>
      <w:r w:rsidRPr="00640A47">
        <w:rPr>
          <w:rFonts w:cstheme="minorHAnsi"/>
          <w:sz w:val="24"/>
          <w:szCs w:val="24"/>
        </w:rPr>
        <w:t>.–</w:t>
      </w:r>
      <w:proofErr w:type="gramEnd"/>
      <w:r w:rsidRPr="00640A47">
        <w:rPr>
          <w:rFonts w:cstheme="minorHAnsi"/>
          <w:sz w:val="24"/>
          <w:szCs w:val="24"/>
        </w:rPr>
        <w:t>, cada cual con su respectiva problemática</w:t>
      </w:r>
      <w:r w:rsidR="002C5B70" w:rsidRPr="00640A47">
        <w:rPr>
          <w:rStyle w:val="Refdenotaalpie"/>
          <w:rFonts w:cstheme="minorHAnsi"/>
          <w:sz w:val="24"/>
          <w:szCs w:val="24"/>
        </w:rPr>
        <w:footnoteReference w:id="2"/>
      </w:r>
      <w:r w:rsidRPr="00640A47">
        <w:rPr>
          <w:rFonts w:cstheme="minorHAnsi"/>
          <w:sz w:val="24"/>
          <w:szCs w:val="24"/>
        </w:rPr>
        <w:t>. En cualquier caso, lo cierto es que existe una evidente tendencia al incremento del número de familias reconstituidas en España</w:t>
      </w:r>
      <w:r w:rsidR="00A63534" w:rsidRPr="00640A47">
        <w:rPr>
          <w:rStyle w:val="Refdenotaalpie"/>
          <w:rFonts w:cstheme="minorHAnsi"/>
          <w:sz w:val="24"/>
          <w:szCs w:val="24"/>
        </w:rPr>
        <w:footnoteReference w:id="3"/>
      </w:r>
      <w:r w:rsidR="002411F5" w:rsidRPr="00640A47">
        <w:rPr>
          <w:rFonts w:cstheme="minorHAnsi"/>
          <w:sz w:val="24"/>
          <w:szCs w:val="24"/>
        </w:rPr>
        <w:t>, que en 2011 ya representaban el 7,5% de las familias</w:t>
      </w:r>
      <w:r w:rsidR="00B14701" w:rsidRPr="00640A47">
        <w:rPr>
          <w:rFonts w:cstheme="minorHAnsi"/>
          <w:sz w:val="24"/>
          <w:szCs w:val="24"/>
        </w:rPr>
        <w:t>, el doble que en 2001</w:t>
      </w:r>
      <w:r w:rsidR="002411F5" w:rsidRPr="00640A47">
        <w:rPr>
          <w:rStyle w:val="Refdenotaalpie"/>
          <w:rFonts w:cstheme="minorHAnsi"/>
          <w:sz w:val="24"/>
          <w:szCs w:val="24"/>
        </w:rPr>
        <w:footnoteReference w:id="4"/>
      </w:r>
      <w:r w:rsidRPr="00640A47">
        <w:rPr>
          <w:rFonts w:cstheme="minorHAnsi"/>
          <w:sz w:val="24"/>
          <w:szCs w:val="24"/>
        </w:rPr>
        <w:t>. Entre las múltiples cuestiones que suscita esta realidad, se cuentan las de tipo jurídico</w:t>
      </w:r>
      <w:r w:rsidR="005F1B00" w:rsidRPr="00640A47">
        <w:rPr>
          <w:rStyle w:val="Refdenotaalpie"/>
          <w:rFonts w:cstheme="minorHAnsi"/>
          <w:sz w:val="24"/>
          <w:szCs w:val="24"/>
        </w:rPr>
        <w:footnoteReference w:id="5"/>
      </w:r>
      <w:r w:rsidRPr="00640A47">
        <w:rPr>
          <w:rFonts w:cstheme="minorHAnsi"/>
          <w:sz w:val="24"/>
          <w:szCs w:val="24"/>
        </w:rPr>
        <w:t>.</w:t>
      </w:r>
    </w:p>
    <w:p w:rsidR="005B21EC" w:rsidRPr="00640A47" w:rsidRDefault="005B21EC" w:rsidP="00640A47">
      <w:pPr>
        <w:spacing w:line="312" w:lineRule="auto"/>
        <w:jc w:val="both"/>
        <w:rPr>
          <w:rFonts w:cstheme="minorHAnsi"/>
          <w:sz w:val="24"/>
          <w:szCs w:val="24"/>
        </w:rPr>
      </w:pPr>
      <w:r w:rsidRPr="00640A47">
        <w:rPr>
          <w:rFonts w:cstheme="minorHAnsi"/>
          <w:sz w:val="24"/>
          <w:szCs w:val="24"/>
        </w:rPr>
        <w:tab/>
        <w:t xml:space="preserve">En efecto, el derecho de sucesiones codificado sigue tomando en consideración solo a la familia nuclear. </w:t>
      </w:r>
      <w:r w:rsidR="00366122" w:rsidRPr="00640A47">
        <w:rPr>
          <w:rFonts w:cstheme="minorHAnsi"/>
          <w:sz w:val="24"/>
          <w:szCs w:val="24"/>
        </w:rPr>
        <w:t>Todavía más, el Código civil únicamente tiene en cuenta la familia nuclear matrimonial</w:t>
      </w:r>
      <w:r w:rsidR="008D1EA3" w:rsidRPr="00640A47">
        <w:rPr>
          <w:rStyle w:val="Refdenotaalpie"/>
          <w:rFonts w:cstheme="minorHAnsi"/>
          <w:sz w:val="24"/>
          <w:szCs w:val="24"/>
        </w:rPr>
        <w:footnoteReference w:id="6"/>
      </w:r>
      <w:r w:rsidR="00366122" w:rsidRPr="00640A47">
        <w:rPr>
          <w:rFonts w:cstheme="minorHAnsi"/>
          <w:sz w:val="24"/>
          <w:szCs w:val="24"/>
        </w:rPr>
        <w:t>. Han sido los derechos civiles autonómicos los que se han abierto</w:t>
      </w:r>
      <w:r w:rsidR="00087310" w:rsidRPr="00640A47">
        <w:rPr>
          <w:rFonts w:cstheme="minorHAnsi"/>
          <w:sz w:val="24"/>
          <w:szCs w:val="24"/>
        </w:rPr>
        <w:t xml:space="preserve"> la sucesión</w:t>
      </w:r>
      <w:r w:rsidR="00366122" w:rsidRPr="00640A47">
        <w:rPr>
          <w:rFonts w:cstheme="minorHAnsi"/>
          <w:sz w:val="24"/>
          <w:szCs w:val="24"/>
        </w:rPr>
        <w:t xml:space="preserve"> a la familia nuclear formada por convivientes de hecho</w:t>
      </w:r>
      <w:r w:rsidR="00087310" w:rsidRPr="00640A47">
        <w:rPr>
          <w:rFonts w:cstheme="minorHAnsi"/>
          <w:sz w:val="24"/>
          <w:szCs w:val="24"/>
        </w:rPr>
        <w:t>, con iguales derechos que los cónyuges</w:t>
      </w:r>
      <w:r w:rsidR="00366122" w:rsidRPr="00640A47">
        <w:rPr>
          <w:rFonts w:cstheme="minorHAnsi"/>
          <w:sz w:val="24"/>
          <w:szCs w:val="24"/>
        </w:rPr>
        <w:t xml:space="preserve">. Sin embargo, y salvando las menciones indirectas a que haremos referencia, ninguno de los derechos civiles vigentes en España contempla la sucesión dentro de las familias reconstituidas. La legítima y la sucesión intestada, que constituyen la materia que analizamos en este trabajo, se basan en los lazos de sangre –la descendencia y la ascendencia por naturaleza–, en el vínculo </w:t>
      </w:r>
      <w:proofErr w:type="spellStart"/>
      <w:r w:rsidR="00366122" w:rsidRPr="00640A47">
        <w:rPr>
          <w:rFonts w:cstheme="minorHAnsi"/>
          <w:sz w:val="24"/>
          <w:szCs w:val="24"/>
        </w:rPr>
        <w:t>paternofilial</w:t>
      </w:r>
      <w:proofErr w:type="spellEnd"/>
      <w:r w:rsidR="00366122" w:rsidRPr="00640A47">
        <w:rPr>
          <w:rFonts w:cstheme="minorHAnsi"/>
          <w:sz w:val="24"/>
          <w:szCs w:val="24"/>
        </w:rPr>
        <w:t xml:space="preserve"> creado </w:t>
      </w:r>
      <w:r w:rsidR="00366122" w:rsidRPr="00640A47">
        <w:rPr>
          <w:rFonts w:cstheme="minorHAnsi"/>
          <w:sz w:val="24"/>
          <w:szCs w:val="24"/>
        </w:rPr>
        <w:lastRenderedPageBreak/>
        <w:t xml:space="preserve">por la ley –la adopción, con las peculiaridades que presenta a nivel sucesorio– y en el vínculo conyugal o </w:t>
      </w:r>
      <w:r w:rsidR="00366122" w:rsidRPr="00640A47">
        <w:rPr>
          <w:rFonts w:cstheme="minorHAnsi"/>
          <w:i/>
          <w:sz w:val="24"/>
          <w:szCs w:val="24"/>
        </w:rPr>
        <w:t xml:space="preserve">more </w:t>
      </w:r>
      <w:proofErr w:type="spellStart"/>
      <w:r w:rsidR="00366122" w:rsidRPr="00640A47">
        <w:rPr>
          <w:rFonts w:cstheme="minorHAnsi"/>
          <w:i/>
          <w:sz w:val="24"/>
          <w:szCs w:val="24"/>
        </w:rPr>
        <w:t>uxorio</w:t>
      </w:r>
      <w:proofErr w:type="spellEnd"/>
      <w:r w:rsidR="00366122" w:rsidRPr="00640A47">
        <w:rPr>
          <w:rFonts w:cstheme="minorHAnsi"/>
          <w:sz w:val="24"/>
          <w:szCs w:val="24"/>
        </w:rPr>
        <w:t>; los hijastros e hijastras, lo</w:t>
      </w:r>
      <w:r w:rsidR="00087310" w:rsidRPr="00640A47">
        <w:rPr>
          <w:rFonts w:cstheme="minorHAnsi"/>
          <w:sz w:val="24"/>
          <w:szCs w:val="24"/>
        </w:rPr>
        <w:t>s</w:t>
      </w:r>
      <w:r w:rsidR="00366122" w:rsidRPr="00640A47">
        <w:rPr>
          <w:rFonts w:cstheme="minorHAnsi"/>
          <w:sz w:val="24"/>
          <w:szCs w:val="24"/>
        </w:rPr>
        <w:t xml:space="preserve"> padrastros y madrastras, ni son legitimarios ni tienen derecho alguno en la sucesión intestada.</w:t>
      </w:r>
    </w:p>
    <w:p w:rsidR="00A61670" w:rsidRPr="00640A47" w:rsidRDefault="00A61670" w:rsidP="00640A47">
      <w:pPr>
        <w:spacing w:line="312" w:lineRule="auto"/>
        <w:jc w:val="both"/>
        <w:rPr>
          <w:rFonts w:cstheme="minorHAnsi"/>
          <w:sz w:val="24"/>
          <w:szCs w:val="24"/>
        </w:rPr>
      </w:pPr>
      <w:r w:rsidRPr="00640A47">
        <w:rPr>
          <w:rFonts w:cstheme="minorHAnsi"/>
          <w:sz w:val="24"/>
          <w:szCs w:val="24"/>
        </w:rPr>
        <w:tab/>
        <w:t xml:space="preserve">Pese al creciente número de </w:t>
      </w:r>
      <w:r w:rsidR="007E5F86" w:rsidRPr="00640A47">
        <w:rPr>
          <w:rFonts w:cstheme="minorHAnsi"/>
          <w:sz w:val="24"/>
          <w:szCs w:val="24"/>
        </w:rPr>
        <w:t>familias reconstituidas en España, la doctrina no ha prestado excesiva atención a sus implicaciones sucesorias</w:t>
      </w:r>
      <w:r w:rsidR="00B92EAD" w:rsidRPr="00640A47">
        <w:rPr>
          <w:rStyle w:val="Refdenotaalpie"/>
          <w:rFonts w:cstheme="minorHAnsi"/>
          <w:sz w:val="24"/>
          <w:szCs w:val="24"/>
        </w:rPr>
        <w:footnoteReference w:id="7"/>
      </w:r>
      <w:r w:rsidR="007E5F86" w:rsidRPr="00640A47">
        <w:rPr>
          <w:rFonts w:cstheme="minorHAnsi"/>
          <w:sz w:val="24"/>
          <w:szCs w:val="24"/>
        </w:rPr>
        <w:t xml:space="preserve">. </w:t>
      </w:r>
      <w:r w:rsidR="00171454" w:rsidRPr="00640A47">
        <w:rPr>
          <w:rFonts w:cstheme="minorHAnsi"/>
          <w:sz w:val="24"/>
          <w:szCs w:val="24"/>
        </w:rPr>
        <w:t>Sin embargo, es evidente que, tarde o temprano, deberá hacerlo, teniendo en cuenta que, como veremos a continuación, el derecho de familia ya las contempla</w:t>
      </w:r>
      <w:r w:rsidR="00171454" w:rsidRPr="00640A47">
        <w:rPr>
          <w:rStyle w:val="Refdenotaalpie"/>
          <w:rFonts w:cstheme="minorHAnsi"/>
          <w:sz w:val="24"/>
          <w:szCs w:val="24"/>
        </w:rPr>
        <w:footnoteReference w:id="8"/>
      </w:r>
      <w:r w:rsidR="00171454" w:rsidRPr="00640A47">
        <w:rPr>
          <w:rFonts w:cstheme="minorHAnsi"/>
          <w:sz w:val="24"/>
          <w:szCs w:val="24"/>
        </w:rPr>
        <w:t xml:space="preserve">. </w:t>
      </w:r>
      <w:r w:rsidR="007E5F86" w:rsidRPr="00640A47">
        <w:rPr>
          <w:rFonts w:cstheme="minorHAnsi"/>
          <w:sz w:val="24"/>
          <w:szCs w:val="24"/>
        </w:rPr>
        <w:t xml:space="preserve">Por eso es necesario </w:t>
      </w:r>
      <w:r w:rsidR="007E5F86" w:rsidRPr="00640A47">
        <w:rPr>
          <w:rFonts w:cstheme="minorHAnsi"/>
          <w:sz w:val="24"/>
          <w:szCs w:val="24"/>
        </w:rPr>
        <w:lastRenderedPageBreak/>
        <w:t>acudir al derecho comparado. En los Estados Unidos, donde el número de familias reconstituidas es mucho más elevado</w:t>
      </w:r>
      <w:r w:rsidR="005F1B00" w:rsidRPr="00640A47">
        <w:rPr>
          <w:rStyle w:val="Refdenotaalpie"/>
          <w:rFonts w:cstheme="minorHAnsi"/>
          <w:sz w:val="24"/>
          <w:szCs w:val="24"/>
        </w:rPr>
        <w:footnoteReference w:id="9"/>
      </w:r>
      <w:r w:rsidR="007E5F86" w:rsidRPr="00640A47">
        <w:rPr>
          <w:rFonts w:cstheme="minorHAnsi"/>
          <w:sz w:val="24"/>
          <w:szCs w:val="24"/>
        </w:rPr>
        <w:t xml:space="preserve">, desde ya hace años que se han articulado propuestas legislativas para insertar a </w:t>
      </w:r>
      <w:r w:rsidR="004A57F9" w:rsidRPr="00640A47">
        <w:rPr>
          <w:rFonts w:cstheme="minorHAnsi"/>
          <w:sz w:val="24"/>
          <w:szCs w:val="24"/>
        </w:rPr>
        <w:t xml:space="preserve">los hijastros e hijastras en el esquema de la sucesión intestada. En cambio, no hay experiencia comparada en relación con las legítimas; por ello hay que acudir al equivalente funcional de la legítima, la </w:t>
      </w:r>
      <w:proofErr w:type="spellStart"/>
      <w:r w:rsidR="004A57F9" w:rsidRPr="00640A47">
        <w:rPr>
          <w:rFonts w:cstheme="minorHAnsi"/>
          <w:i/>
          <w:sz w:val="24"/>
          <w:szCs w:val="24"/>
        </w:rPr>
        <w:t>family</w:t>
      </w:r>
      <w:proofErr w:type="spellEnd"/>
      <w:r w:rsidR="004A57F9" w:rsidRPr="00640A47">
        <w:rPr>
          <w:rFonts w:cstheme="minorHAnsi"/>
          <w:i/>
          <w:sz w:val="24"/>
          <w:szCs w:val="24"/>
        </w:rPr>
        <w:t xml:space="preserve"> </w:t>
      </w:r>
      <w:proofErr w:type="spellStart"/>
      <w:r w:rsidR="004A57F9" w:rsidRPr="00640A47">
        <w:rPr>
          <w:rFonts w:cstheme="minorHAnsi"/>
          <w:i/>
          <w:sz w:val="24"/>
          <w:szCs w:val="24"/>
        </w:rPr>
        <w:t>provision</w:t>
      </w:r>
      <w:proofErr w:type="spellEnd"/>
      <w:r w:rsidR="004A57F9" w:rsidRPr="00640A47">
        <w:rPr>
          <w:rFonts w:cstheme="minorHAnsi"/>
          <w:i/>
          <w:sz w:val="24"/>
          <w:szCs w:val="24"/>
        </w:rPr>
        <w:t xml:space="preserve">, </w:t>
      </w:r>
      <w:r w:rsidR="004A57F9" w:rsidRPr="00640A47">
        <w:rPr>
          <w:rFonts w:cstheme="minorHAnsi"/>
          <w:sz w:val="24"/>
          <w:szCs w:val="24"/>
        </w:rPr>
        <w:t xml:space="preserve">para valorar un sistema en que se ha dado entrada a la familia reconstituida. No debe extrañar que el recurso comparado conduzca al </w:t>
      </w:r>
      <w:proofErr w:type="spellStart"/>
      <w:r w:rsidR="004A57F9" w:rsidRPr="00640A47">
        <w:rPr>
          <w:rFonts w:cstheme="minorHAnsi"/>
          <w:i/>
          <w:sz w:val="24"/>
          <w:szCs w:val="24"/>
        </w:rPr>
        <w:t>common</w:t>
      </w:r>
      <w:proofErr w:type="spellEnd"/>
      <w:r w:rsidR="004A57F9" w:rsidRPr="00640A47">
        <w:rPr>
          <w:rFonts w:cstheme="minorHAnsi"/>
          <w:i/>
          <w:sz w:val="24"/>
          <w:szCs w:val="24"/>
        </w:rPr>
        <w:t xml:space="preserve"> </w:t>
      </w:r>
      <w:proofErr w:type="spellStart"/>
      <w:r w:rsidR="004A57F9" w:rsidRPr="00640A47">
        <w:rPr>
          <w:rFonts w:cstheme="minorHAnsi"/>
          <w:i/>
          <w:sz w:val="24"/>
          <w:szCs w:val="24"/>
        </w:rPr>
        <w:t>law</w:t>
      </w:r>
      <w:proofErr w:type="spellEnd"/>
      <w:r w:rsidR="004A57F9" w:rsidRPr="00640A47">
        <w:rPr>
          <w:rFonts w:cstheme="minorHAnsi"/>
          <w:i/>
          <w:sz w:val="24"/>
          <w:szCs w:val="24"/>
        </w:rPr>
        <w:t xml:space="preserve">, </w:t>
      </w:r>
      <w:r w:rsidR="004A57F9" w:rsidRPr="00640A47">
        <w:rPr>
          <w:rFonts w:cstheme="minorHAnsi"/>
          <w:sz w:val="24"/>
          <w:szCs w:val="24"/>
        </w:rPr>
        <w:t xml:space="preserve">mucho más abierto a innovaciones </w:t>
      </w:r>
      <w:r w:rsidR="005A6BF9" w:rsidRPr="00640A47">
        <w:rPr>
          <w:rFonts w:cstheme="minorHAnsi"/>
          <w:sz w:val="24"/>
          <w:szCs w:val="24"/>
        </w:rPr>
        <w:t>por diversas razones, entre ellas e</w:t>
      </w:r>
      <w:r w:rsidR="004A57F9" w:rsidRPr="00640A47">
        <w:rPr>
          <w:rFonts w:cstheme="minorHAnsi"/>
          <w:sz w:val="24"/>
          <w:szCs w:val="24"/>
        </w:rPr>
        <w:t>l carecer de la larga historia de la legítima.</w:t>
      </w:r>
    </w:p>
    <w:p w:rsidR="004A57F9" w:rsidRPr="00640A47" w:rsidRDefault="004A57F9" w:rsidP="00640A47">
      <w:pPr>
        <w:spacing w:line="312" w:lineRule="auto"/>
        <w:jc w:val="both"/>
        <w:rPr>
          <w:rFonts w:cstheme="minorHAnsi"/>
          <w:sz w:val="24"/>
          <w:szCs w:val="24"/>
        </w:rPr>
      </w:pPr>
      <w:r w:rsidRPr="00640A47">
        <w:rPr>
          <w:rFonts w:cstheme="minorHAnsi"/>
          <w:sz w:val="24"/>
          <w:szCs w:val="24"/>
        </w:rPr>
        <w:tab/>
        <w:t xml:space="preserve">Nuestro artículo se organiza del siguiente modo: primero, analizaremos a la presencia de las familias reconstituidas en los derechos de familia y sucesiones vigentes en España (II); seguidamente, nos aproximaremos a los ejemplos comparados que nos proporciona el </w:t>
      </w:r>
      <w:proofErr w:type="spellStart"/>
      <w:r w:rsidRPr="00640A47">
        <w:rPr>
          <w:rFonts w:cstheme="minorHAnsi"/>
          <w:i/>
          <w:sz w:val="24"/>
          <w:szCs w:val="24"/>
        </w:rPr>
        <w:t>common</w:t>
      </w:r>
      <w:proofErr w:type="spellEnd"/>
      <w:r w:rsidRPr="00640A47">
        <w:rPr>
          <w:rFonts w:cstheme="minorHAnsi"/>
          <w:i/>
          <w:sz w:val="24"/>
          <w:szCs w:val="24"/>
        </w:rPr>
        <w:t xml:space="preserve"> </w:t>
      </w:r>
      <w:proofErr w:type="spellStart"/>
      <w:r w:rsidRPr="00640A47">
        <w:rPr>
          <w:rFonts w:cstheme="minorHAnsi"/>
          <w:i/>
          <w:sz w:val="24"/>
          <w:szCs w:val="24"/>
        </w:rPr>
        <w:t>law</w:t>
      </w:r>
      <w:proofErr w:type="spellEnd"/>
      <w:r w:rsidRPr="00640A47">
        <w:rPr>
          <w:rFonts w:cstheme="minorHAnsi"/>
          <w:sz w:val="24"/>
          <w:szCs w:val="24"/>
        </w:rPr>
        <w:t xml:space="preserve"> (III); y, finalmente, </w:t>
      </w:r>
      <w:r w:rsidR="00B92EAD" w:rsidRPr="00640A47">
        <w:rPr>
          <w:rFonts w:cstheme="minorHAnsi"/>
          <w:sz w:val="24"/>
          <w:szCs w:val="24"/>
        </w:rPr>
        <w:t>esbozaremos algunos trazos gruesos de cómo podría regularse la sucesión a título legal en los derechos civiles españoles (IV).</w:t>
      </w:r>
    </w:p>
    <w:p w:rsidR="005B21EC" w:rsidRPr="00640A47" w:rsidRDefault="00511B10" w:rsidP="00640A47">
      <w:pPr>
        <w:spacing w:line="312" w:lineRule="auto"/>
        <w:jc w:val="both"/>
        <w:rPr>
          <w:rFonts w:cstheme="minorHAnsi"/>
          <w:b/>
          <w:sz w:val="24"/>
          <w:szCs w:val="24"/>
        </w:rPr>
      </w:pPr>
      <w:r>
        <w:rPr>
          <w:rFonts w:cstheme="minorHAnsi"/>
          <w:b/>
          <w:sz w:val="24"/>
          <w:szCs w:val="24"/>
        </w:rPr>
        <w:t>2</w:t>
      </w:r>
      <w:r w:rsidR="005A6BF9" w:rsidRPr="00640A47">
        <w:rPr>
          <w:rFonts w:cstheme="minorHAnsi"/>
          <w:b/>
          <w:sz w:val="24"/>
          <w:szCs w:val="24"/>
        </w:rPr>
        <w:t>. LAS FAMILIAS RECONSTITUIDAS EN LOS DERECHOS DE FAMILIA Y DE SUCESIONES VIGENTES EN ESPAÑA</w:t>
      </w:r>
    </w:p>
    <w:p w:rsidR="005A6BF9" w:rsidRPr="00F72D1E" w:rsidRDefault="00511B10" w:rsidP="00640A47">
      <w:pPr>
        <w:spacing w:line="312" w:lineRule="auto"/>
        <w:jc w:val="both"/>
        <w:rPr>
          <w:rFonts w:cstheme="minorHAnsi"/>
          <w:b/>
          <w:i/>
          <w:sz w:val="24"/>
          <w:szCs w:val="24"/>
        </w:rPr>
      </w:pPr>
      <w:r w:rsidRPr="00F72D1E">
        <w:rPr>
          <w:rFonts w:cstheme="minorHAnsi"/>
          <w:b/>
          <w:i/>
          <w:sz w:val="24"/>
          <w:szCs w:val="24"/>
        </w:rPr>
        <w:t>2.</w:t>
      </w:r>
      <w:r w:rsidR="005A6BF9" w:rsidRPr="00F72D1E">
        <w:rPr>
          <w:rFonts w:cstheme="minorHAnsi"/>
          <w:b/>
          <w:i/>
          <w:sz w:val="24"/>
          <w:szCs w:val="24"/>
        </w:rPr>
        <w:t xml:space="preserve">1. </w:t>
      </w:r>
      <w:r w:rsidR="00B14701" w:rsidRPr="00F72D1E">
        <w:rPr>
          <w:rFonts w:cstheme="minorHAnsi"/>
          <w:b/>
          <w:i/>
          <w:sz w:val="24"/>
          <w:szCs w:val="24"/>
        </w:rPr>
        <w:t>Derecho estatal</w:t>
      </w:r>
    </w:p>
    <w:p w:rsidR="00B14701" w:rsidRPr="00640A47" w:rsidRDefault="00B14701" w:rsidP="00640A47">
      <w:pPr>
        <w:spacing w:line="312" w:lineRule="auto"/>
        <w:jc w:val="both"/>
        <w:rPr>
          <w:rFonts w:cstheme="minorHAnsi"/>
          <w:sz w:val="24"/>
          <w:szCs w:val="24"/>
        </w:rPr>
      </w:pPr>
      <w:r w:rsidRPr="00640A47">
        <w:rPr>
          <w:rFonts w:cstheme="minorHAnsi"/>
          <w:b/>
          <w:sz w:val="24"/>
          <w:szCs w:val="24"/>
        </w:rPr>
        <w:tab/>
      </w:r>
      <w:r w:rsidRPr="00640A47">
        <w:rPr>
          <w:rFonts w:cstheme="minorHAnsi"/>
          <w:sz w:val="24"/>
          <w:szCs w:val="24"/>
        </w:rPr>
        <w:t xml:space="preserve">El Código civil no contempla unitariamente las familias reconstituidas, pese a que el derecho de familia es el área que más reformas ha experimentado en los últimos años. </w:t>
      </w:r>
      <w:r w:rsidR="0000557E" w:rsidRPr="00640A47">
        <w:rPr>
          <w:rFonts w:cstheme="minorHAnsi"/>
          <w:sz w:val="24"/>
          <w:szCs w:val="24"/>
        </w:rPr>
        <w:t>Apenas el art. 1362,1º.2 CC considera como carga</w:t>
      </w:r>
      <w:r w:rsidR="00AF38E0" w:rsidRPr="00640A47">
        <w:rPr>
          <w:rFonts w:cstheme="minorHAnsi"/>
          <w:sz w:val="24"/>
          <w:szCs w:val="24"/>
        </w:rPr>
        <w:t xml:space="preserve"> de la sociedad de gananciales los gastos de alimentación y educación de los hijos de uno solo de los cónyuges que convivan en el hogar familiar; en contrapartida, el art. 155.2º CC establece que los hijos –sin distingos entre comunes y comunes– debe contribuir equitativamente al levantamiento de cargas familiares.</w:t>
      </w:r>
      <w:r w:rsidR="0000557E" w:rsidRPr="00640A47">
        <w:rPr>
          <w:rFonts w:cstheme="minorHAnsi"/>
          <w:sz w:val="24"/>
          <w:szCs w:val="24"/>
        </w:rPr>
        <w:t xml:space="preserve"> </w:t>
      </w:r>
      <w:r w:rsidR="004E6D2E" w:rsidRPr="00640A47">
        <w:rPr>
          <w:rFonts w:cstheme="minorHAnsi"/>
          <w:sz w:val="24"/>
          <w:szCs w:val="24"/>
        </w:rPr>
        <w:t>También puede señalarse que el art. 68 CC prevé como deber conyugal el cuidado y atención de descendientes, sin especificar que sean comunes, si bien es evidente que no se contempla expresamente la familia reconstituida. Y es que l</w:t>
      </w:r>
      <w:r w:rsidR="0000557E" w:rsidRPr="00640A47">
        <w:rPr>
          <w:rFonts w:cstheme="minorHAnsi"/>
          <w:sz w:val="24"/>
          <w:szCs w:val="24"/>
        </w:rPr>
        <w:t>a mayoría de</w:t>
      </w:r>
      <w:r w:rsidR="00897B95" w:rsidRPr="00640A47">
        <w:rPr>
          <w:rFonts w:cstheme="minorHAnsi"/>
          <w:sz w:val="24"/>
          <w:szCs w:val="24"/>
        </w:rPr>
        <w:t xml:space="preserve"> referencias son indirectas. El art. 840 CC contempla al cónyuge viudo concurriendo a la sucesión “con hijos sólo del causante”; en este supuesto de familia reconstituida, el cónyuge viudo puede exigir que su derecho de usufructo legitimario le sea satisfecho, a elección de aquellos, mediante </w:t>
      </w:r>
      <w:r w:rsidR="00897B95" w:rsidRPr="00640A47">
        <w:rPr>
          <w:rFonts w:cstheme="minorHAnsi"/>
          <w:sz w:val="24"/>
          <w:szCs w:val="24"/>
        </w:rPr>
        <w:lastRenderedPageBreak/>
        <w:t xml:space="preserve">una cantidad de dinero o un lote de bienes hereditarios. Por otra parte, la reserva vidual del art. 968 </w:t>
      </w:r>
      <w:proofErr w:type="spellStart"/>
      <w:r w:rsidR="00897B95" w:rsidRPr="00640A47">
        <w:rPr>
          <w:rFonts w:cstheme="minorHAnsi"/>
          <w:sz w:val="24"/>
          <w:szCs w:val="24"/>
        </w:rPr>
        <w:t>ss</w:t>
      </w:r>
      <w:proofErr w:type="spellEnd"/>
      <w:r w:rsidR="00897B95" w:rsidRPr="00640A47">
        <w:rPr>
          <w:rFonts w:cstheme="minorHAnsi"/>
          <w:sz w:val="24"/>
          <w:szCs w:val="24"/>
        </w:rPr>
        <w:t xml:space="preserve"> –que sigue en vigor en el País Vasco, de acuerdo con el art. </w:t>
      </w:r>
      <w:r w:rsidR="00170304" w:rsidRPr="00640A47">
        <w:rPr>
          <w:rFonts w:cstheme="minorHAnsi"/>
          <w:sz w:val="24"/>
          <w:szCs w:val="24"/>
        </w:rPr>
        <w:t>120 de la Ley 5/2015, de Derecho Civil Vasco–</w:t>
      </w:r>
      <w:r w:rsidR="00897B95" w:rsidRPr="00640A47">
        <w:rPr>
          <w:rFonts w:cstheme="minorHAnsi"/>
          <w:sz w:val="24"/>
          <w:szCs w:val="24"/>
        </w:rPr>
        <w:t xml:space="preserve">presupone, también, </w:t>
      </w:r>
      <w:r w:rsidR="00170304" w:rsidRPr="00640A47">
        <w:rPr>
          <w:rFonts w:cstheme="minorHAnsi"/>
          <w:sz w:val="24"/>
          <w:szCs w:val="24"/>
        </w:rPr>
        <w:t xml:space="preserve">entre sus supuestos constituyentes, </w:t>
      </w:r>
      <w:r w:rsidR="00897B95" w:rsidRPr="00640A47">
        <w:rPr>
          <w:rFonts w:cstheme="minorHAnsi"/>
          <w:sz w:val="24"/>
          <w:szCs w:val="24"/>
        </w:rPr>
        <w:t>una familia reconstituida</w:t>
      </w:r>
      <w:r w:rsidR="00170304" w:rsidRPr="00640A47">
        <w:rPr>
          <w:rFonts w:cstheme="minorHAnsi"/>
          <w:sz w:val="24"/>
          <w:szCs w:val="24"/>
        </w:rPr>
        <w:t>.</w:t>
      </w:r>
      <w:r w:rsidR="00897B95" w:rsidRPr="00640A47">
        <w:rPr>
          <w:rFonts w:cstheme="minorHAnsi"/>
          <w:sz w:val="24"/>
          <w:szCs w:val="24"/>
        </w:rPr>
        <w:t xml:space="preserve"> </w:t>
      </w:r>
    </w:p>
    <w:p w:rsidR="00C166F0" w:rsidRPr="00640A47" w:rsidRDefault="00C166F0" w:rsidP="00640A47">
      <w:pPr>
        <w:spacing w:line="312" w:lineRule="auto"/>
        <w:jc w:val="both"/>
        <w:rPr>
          <w:rFonts w:cstheme="minorHAnsi"/>
          <w:sz w:val="24"/>
          <w:szCs w:val="24"/>
        </w:rPr>
      </w:pPr>
      <w:r w:rsidRPr="00640A47">
        <w:rPr>
          <w:rFonts w:cstheme="minorHAnsi"/>
          <w:sz w:val="24"/>
          <w:szCs w:val="24"/>
        </w:rPr>
        <w:tab/>
        <w:t xml:space="preserve">Las familias reconstituidas encuentran su mayor reconocimiento en diversas normas </w:t>
      </w:r>
      <w:proofErr w:type="spellStart"/>
      <w:r w:rsidRPr="00640A47">
        <w:rPr>
          <w:rFonts w:cstheme="minorHAnsi"/>
          <w:sz w:val="24"/>
          <w:szCs w:val="24"/>
        </w:rPr>
        <w:t>extracodiciales</w:t>
      </w:r>
      <w:proofErr w:type="spellEnd"/>
      <w:r w:rsidRPr="00640A47">
        <w:rPr>
          <w:rFonts w:cstheme="minorHAnsi"/>
          <w:sz w:val="24"/>
          <w:szCs w:val="24"/>
        </w:rPr>
        <w:t xml:space="preserve"> de naturaleza pública</w:t>
      </w:r>
      <w:r w:rsidR="000008FE" w:rsidRPr="00640A47">
        <w:rPr>
          <w:rStyle w:val="Refdenotaalpie"/>
          <w:rFonts w:cstheme="minorHAnsi"/>
          <w:sz w:val="24"/>
          <w:szCs w:val="24"/>
        </w:rPr>
        <w:footnoteReference w:id="10"/>
      </w:r>
      <w:r w:rsidRPr="00640A47">
        <w:rPr>
          <w:rFonts w:cstheme="minorHAnsi"/>
          <w:sz w:val="24"/>
          <w:szCs w:val="24"/>
        </w:rPr>
        <w:t xml:space="preserve">. </w:t>
      </w:r>
      <w:r w:rsidR="00972A9F" w:rsidRPr="00640A47">
        <w:rPr>
          <w:rFonts w:cstheme="minorHAnsi"/>
          <w:sz w:val="24"/>
          <w:szCs w:val="24"/>
        </w:rPr>
        <w:t>Por cuanto concierne al derecho tributario, l</w:t>
      </w:r>
      <w:r w:rsidR="00905AF8" w:rsidRPr="00640A47">
        <w:rPr>
          <w:rFonts w:cstheme="minorHAnsi"/>
          <w:sz w:val="24"/>
          <w:szCs w:val="24"/>
        </w:rPr>
        <w:t xml:space="preserve">os arts. 56 </w:t>
      </w:r>
      <w:proofErr w:type="gramStart"/>
      <w:r w:rsidR="00905AF8" w:rsidRPr="00640A47">
        <w:rPr>
          <w:rFonts w:cstheme="minorHAnsi"/>
          <w:sz w:val="24"/>
          <w:szCs w:val="24"/>
        </w:rPr>
        <w:t>a</w:t>
      </w:r>
      <w:proofErr w:type="gramEnd"/>
      <w:r w:rsidR="00905AF8" w:rsidRPr="00640A47">
        <w:rPr>
          <w:rFonts w:cstheme="minorHAnsi"/>
          <w:sz w:val="24"/>
          <w:szCs w:val="24"/>
        </w:rPr>
        <w:t xml:space="preserve"> 61 de la Ley 35/2006, de 28 de noviembre, del Impuesto sobre la Renta de las Personas Físicas, con la finalidad de determinar la renta mínima que necesita el contribuyente para satisfaces sus necesidades personales y familiares, enumera una serie de mínimos por descendiente, concepto que incluye todos los hijos integrantes de la unidad familiar, sean o no hijos comunes, pero siempre que convivan. </w:t>
      </w:r>
      <w:r w:rsidR="00972A9F" w:rsidRPr="00640A47">
        <w:rPr>
          <w:rFonts w:cstheme="minorHAnsi"/>
          <w:sz w:val="24"/>
          <w:szCs w:val="24"/>
        </w:rPr>
        <w:t>En el impuesto de sucesiones y donaciones, el art. 20 de la Ley 29/1987, de 18 de diciembre, no equipara los hijastros e hijastras a los hijos por naturaleza, pero tampoco los trata como extraños, pues establece una reducción de la base imponible (apartado 2.a.Grupo III, “descendientes por afinidad”; en desarrollo de este precepto, el art. 60 de la Ley catalana 19/2010, del 7 de junio, asimila completamente en cuanto a trato fiscal los hijos del cónyuge o conviviente con los propios</w:t>
      </w:r>
      <w:r w:rsidR="00AF38E0" w:rsidRPr="00640A47">
        <w:rPr>
          <w:rFonts w:cstheme="minorHAnsi"/>
          <w:sz w:val="24"/>
          <w:szCs w:val="24"/>
        </w:rPr>
        <w:t>)</w:t>
      </w:r>
      <w:r w:rsidR="00972A9F" w:rsidRPr="00640A47">
        <w:rPr>
          <w:rFonts w:cstheme="minorHAnsi"/>
          <w:sz w:val="24"/>
          <w:szCs w:val="24"/>
        </w:rPr>
        <w:t xml:space="preserve">. </w:t>
      </w:r>
      <w:r w:rsidR="00905AF8" w:rsidRPr="00640A47">
        <w:rPr>
          <w:rFonts w:cstheme="minorHAnsi"/>
          <w:sz w:val="24"/>
          <w:szCs w:val="24"/>
        </w:rPr>
        <w:t xml:space="preserve">En el ámbito social, dentro de los sujetos con derecho a ser beneficiarios de la pensión por orfandad se cuentan los hijos del cónyuge superviviente aportados al matrimonio siempre y cuando cumplan unos determinados requisitos (art. 224 </w:t>
      </w:r>
      <w:proofErr w:type="spellStart"/>
      <w:r w:rsidR="00905AF8" w:rsidRPr="00640A47">
        <w:rPr>
          <w:rFonts w:cstheme="minorHAnsi"/>
          <w:sz w:val="24"/>
          <w:szCs w:val="24"/>
        </w:rPr>
        <w:t>ss</w:t>
      </w:r>
      <w:proofErr w:type="spellEnd"/>
      <w:r w:rsidR="00905AF8" w:rsidRPr="00640A47">
        <w:rPr>
          <w:rFonts w:cstheme="minorHAnsi"/>
          <w:sz w:val="24"/>
          <w:szCs w:val="24"/>
        </w:rPr>
        <w:t xml:space="preserve"> del Real Decreto Legislativo 8/2015, de 30 de octubre, por el que se aprueba el texto refundido de la Ley General de la Seguridad Social</w:t>
      </w:r>
      <w:r w:rsidR="00AF38E0" w:rsidRPr="00640A47">
        <w:rPr>
          <w:rFonts w:cstheme="minorHAnsi"/>
          <w:sz w:val="24"/>
          <w:szCs w:val="24"/>
        </w:rPr>
        <w:t>)</w:t>
      </w:r>
      <w:r w:rsidR="00905AF8" w:rsidRPr="00640A47">
        <w:rPr>
          <w:rFonts w:cstheme="minorHAnsi"/>
          <w:sz w:val="24"/>
          <w:szCs w:val="24"/>
        </w:rPr>
        <w:t>, entre los que merecen ser destacados la convivencia con el sujeto causante y que el matrimonio entre el causante y la pareja superviviente debe haberse celebrado dos años antes de la defunción del causante</w:t>
      </w:r>
      <w:r w:rsidR="001C0CDB" w:rsidRPr="00640A47">
        <w:rPr>
          <w:rFonts w:cstheme="minorHAnsi"/>
          <w:sz w:val="24"/>
          <w:szCs w:val="24"/>
        </w:rPr>
        <w:t xml:space="preserve">. Además, la Ley 40/2003, de 18 de noviembre, de Protección a las Familias Numerosas, establece una acreditación para familias numerosas para la que computan los hijos no comunes de la unidad familiar conforme a su art. </w:t>
      </w:r>
      <w:r w:rsidR="00154376" w:rsidRPr="00640A47">
        <w:rPr>
          <w:rFonts w:cstheme="minorHAnsi"/>
          <w:sz w:val="24"/>
          <w:szCs w:val="24"/>
        </w:rPr>
        <w:t xml:space="preserve">2, estableciéndose nuevamente como requisito la convivencia. Por </w:t>
      </w:r>
      <w:r w:rsidR="000008FE" w:rsidRPr="00640A47">
        <w:rPr>
          <w:rFonts w:cstheme="minorHAnsi"/>
          <w:sz w:val="24"/>
          <w:szCs w:val="24"/>
        </w:rPr>
        <w:t>otra parte</w:t>
      </w:r>
      <w:r w:rsidR="00154376" w:rsidRPr="00640A47">
        <w:rPr>
          <w:rFonts w:cstheme="minorHAnsi"/>
          <w:sz w:val="24"/>
          <w:szCs w:val="24"/>
        </w:rPr>
        <w:t>, el hijo no común es beneficiario del asegurado a los efectos del Real Decreto 1192/2012, de 3 de agosto, por el que se regula la condición de asegurado y de beneficiario a efectos de la asistencia sanitaria en España, con cargo a fondos públicos, a través del Sistema Nacional de Salud (art. 2).</w:t>
      </w:r>
      <w:r w:rsidR="000008FE" w:rsidRPr="00640A47">
        <w:rPr>
          <w:rFonts w:cstheme="minorHAnsi"/>
          <w:sz w:val="24"/>
          <w:szCs w:val="24"/>
        </w:rPr>
        <w:t xml:space="preserve"> Por último, puede mencionarse que, a efectos de reagrupación familiar, son </w:t>
      </w:r>
      <w:proofErr w:type="spellStart"/>
      <w:r w:rsidR="000008FE" w:rsidRPr="00640A47">
        <w:rPr>
          <w:rFonts w:cstheme="minorHAnsi"/>
          <w:sz w:val="24"/>
          <w:szCs w:val="24"/>
        </w:rPr>
        <w:t>reagrupables</w:t>
      </w:r>
      <w:proofErr w:type="spellEnd"/>
      <w:r w:rsidR="000008FE" w:rsidRPr="00640A47">
        <w:rPr>
          <w:rFonts w:cstheme="minorHAnsi"/>
          <w:sz w:val="24"/>
          <w:szCs w:val="24"/>
        </w:rPr>
        <w:t xml:space="preserve"> los hijos de familias reconstituidas, pero con la siguiente salvedad: “Cuando se trate de hijos de </w:t>
      </w:r>
      <w:r w:rsidR="000008FE" w:rsidRPr="00640A47">
        <w:rPr>
          <w:rFonts w:cstheme="minorHAnsi"/>
          <w:sz w:val="24"/>
          <w:szCs w:val="24"/>
        </w:rPr>
        <w:lastRenderedPageBreak/>
        <w:t>uno solo de los cónyuges se requerirá, además, que éste ejerza en solitario la patria potestad o que se le haya otorgado la custodia y estén efectivamente a su cargo” (art. 17.1.b de la Ley Orgánica 4/2000, de 11 de enero, sobre derechos y libertades de los extranjeros en España y su integración social).</w:t>
      </w:r>
    </w:p>
    <w:p w:rsidR="00CA2A39" w:rsidRPr="00F72D1E" w:rsidRDefault="00511B10" w:rsidP="00640A47">
      <w:pPr>
        <w:spacing w:line="312" w:lineRule="auto"/>
        <w:jc w:val="both"/>
        <w:rPr>
          <w:rFonts w:cstheme="minorHAnsi"/>
          <w:b/>
          <w:i/>
          <w:sz w:val="24"/>
          <w:szCs w:val="24"/>
        </w:rPr>
      </w:pPr>
      <w:r w:rsidRPr="00F72D1E">
        <w:rPr>
          <w:rFonts w:cstheme="minorHAnsi"/>
          <w:b/>
          <w:i/>
          <w:sz w:val="24"/>
          <w:szCs w:val="24"/>
        </w:rPr>
        <w:t>2.</w:t>
      </w:r>
      <w:r w:rsidR="00CA2A39" w:rsidRPr="00F72D1E">
        <w:rPr>
          <w:rFonts w:cstheme="minorHAnsi"/>
          <w:b/>
          <w:i/>
          <w:sz w:val="24"/>
          <w:szCs w:val="24"/>
        </w:rPr>
        <w:t>2. El Código civil de Cataluña</w:t>
      </w:r>
    </w:p>
    <w:p w:rsidR="00CA2A39" w:rsidRPr="00640A47" w:rsidRDefault="00634013" w:rsidP="00640A47">
      <w:pPr>
        <w:spacing w:line="312" w:lineRule="auto"/>
        <w:jc w:val="both"/>
        <w:rPr>
          <w:rFonts w:cstheme="minorHAnsi"/>
          <w:sz w:val="24"/>
          <w:szCs w:val="24"/>
        </w:rPr>
      </w:pPr>
      <w:r w:rsidRPr="00640A47">
        <w:rPr>
          <w:rFonts w:cstheme="minorHAnsi"/>
          <w:sz w:val="24"/>
          <w:szCs w:val="24"/>
        </w:rPr>
        <w:tab/>
        <w:t xml:space="preserve">El art. 231-1 </w:t>
      </w:r>
      <w:proofErr w:type="spellStart"/>
      <w:r w:rsidRPr="00640A47">
        <w:rPr>
          <w:rFonts w:cstheme="minorHAnsi"/>
          <w:sz w:val="24"/>
          <w:szCs w:val="24"/>
        </w:rPr>
        <w:t>CCCat</w:t>
      </w:r>
      <w:proofErr w:type="spellEnd"/>
      <w:r w:rsidRPr="00640A47">
        <w:rPr>
          <w:rFonts w:cstheme="minorHAnsi"/>
          <w:sz w:val="24"/>
          <w:szCs w:val="24"/>
        </w:rPr>
        <w:t xml:space="preserve"> apela directamente a la heterogeneidad del concepto familia, </w:t>
      </w:r>
      <w:r w:rsidR="00171454" w:rsidRPr="00640A47">
        <w:rPr>
          <w:rFonts w:cstheme="minorHAnsi"/>
          <w:sz w:val="24"/>
          <w:szCs w:val="24"/>
        </w:rPr>
        <w:t>que resulta de la misma Constitución</w:t>
      </w:r>
      <w:r w:rsidR="00171454" w:rsidRPr="00640A47">
        <w:rPr>
          <w:rStyle w:val="Refdenotaalpie"/>
          <w:rFonts w:cstheme="minorHAnsi"/>
          <w:sz w:val="24"/>
          <w:szCs w:val="24"/>
        </w:rPr>
        <w:footnoteReference w:id="11"/>
      </w:r>
      <w:r w:rsidR="00171454" w:rsidRPr="00640A47">
        <w:rPr>
          <w:rFonts w:cstheme="minorHAnsi"/>
          <w:sz w:val="24"/>
          <w:szCs w:val="24"/>
        </w:rPr>
        <w:t xml:space="preserve">, </w:t>
      </w:r>
      <w:r w:rsidRPr="00640A47">
        <w:rPr>
          <w:rFonts w:cstheme="minorHAnsi"/>
          <w:sz w:val="24"/>
          <w:szCs w:val="24"/>
        </w:rPr>
        <w:t>y explícitamente considera en su segundo apartado que son un tipo de familia las reconstituidas: “Se reconocen como miembros de la familia, con los efectos que legalmente se determinen, los hijos de cada uno de los progenitores que convivan en el mismo núcleo familiar, como consecuencia de la formación de familias reconstituidas. Este reconocimiento no altera los vínculos con el otro progenitor”. Esta aproximación legal presenta directamente uno de los principales problemas jurídicos que plantean las familias reconstituidas: puede existir el otro progenitor de los hijos no comunes, y si existe, el vínculo de filiación con todos sus efectos legales se mantiene</w:t>
      </w:r>
      <w:r w:rsidR="002A2EE6" w:rsidRPr="00640A47">
        <w:rPr>
          <w:rStyle w:val="Refdenotaalpie"/>
          <w:rFonts w:cstheme="minorHAnsi"/>
          <w:sz w:val="24"/>
          <w:szCs w:val="24"/>
        </w:rPr>
        <w:footnoteReference w:id="12"/>
      </w:r>
      <w:r w:rsidRPr="00640A47">
        <w:rPr>
          <w:rFonts w:cstheme="minorHAnsi"/>
          <w:sz w:val="24"/>
          <w:szCs w:val="24"/>
        </w:rPr>
        <w:t>.</w:t>
      </w:r>
    </w:p>
    <w:p w:rsidR="00171454" w:rsidRPr="00640A47" w:rsidRDefault="00171454" w:rsidP="00640A47">
      <w:pPr>
        <w:spacing w:line="312" w:lineRule="auto"/>
        <w:jc w:val="both"/>
        <w:rPr>
          <w:rFonts w:cstheme="minorHAnsi"/>
          <w:sz w:val="24"/>
          <w:szCs w:val="24"/>
        </w:rPr>
      </w:pPr>
      <w:r w:rsidRPr="00640A47">
        <w:rPr>
          <w:rFonts w:cstheme="minorHAnsi"/>
          <w:sz w:val="24"/>
          <w:szCs w:val="24"/>
        </w:rPr>
        <w:tab/>
        <w:t xml:space="preserve">La integración de los hijos comunes se manifiesta, por un lado, en los gastos familiares. El art. 231-5.2 </w:t>
      </w:r>
      <w:proofErr w:type="spellStart"/>
      <w:r w:rsidRPr="00640A47">
        <w:rPr>
          <w:rFonts w:cstheme="minorHAnsi"/>
          <w:sz w:val="24"/>
          <w:szCs w:val="24"/>
        </w:rPr>
        <w:t>CCCat</w:t>
      </w:r>
      <w:proofErr w:type="spellEnd"/>
      <w:r w:rsidRPr="00640A47">
        <w:rPr>
          <w:rFonts w:cstheme="minorHAnsi"/>
          <w:sz w:val="24"/>
          <w:szCs w:val="24"/>
        </w:rPr>
        <w:t xml:space="preserve"> dispone que los gastos de manutención de los hijos no comunes que conviven con los cónyuges son gastos familiares, e inversamente el art. 23</w:t>
      </w:r>
      <w:r w:rsidR="00E86A44" w:rsidRPr="00640A47">
        <w:rPr>
          <w:rFonts w:cstheme="minorHAnsi"/>
          <w:sz w:val="24"/>
          <w:szCs w:val="24"/>
        </w:rPr>
        <w:t>1</w:t>
      </w:r>
      <w:r w:rsidRPr="00640A47">
        <w:rPr>
          <w:rFonts w:cstheme="minorHAnsi"/>
          <w:sz w:val="24"/>
          <w:szCs w:val="24"/>
        </w:rPr>
        <w:t>-</w:t>
      </w:r>
      <w:r w:rsidR="00E86A44" w:rsidRPr="00640A47">
        <w:rPr>
          <w:rFonts w:cstheme="minorHAnsi"/>
          <w:sz w:val="24"/>
          <w:szCs w:val="24"/>
        </w:rPr>
        <w:t>6</w:t>
      </w:r>
      <w:r w:rsidRPr="00640A47">
        <w:rPr>
          <w:rFonts w:cstheme="minorHAnsi"/>
          <w:sz w:val="24"/>
          <w:szCs w:val="24"/>
        </w:rPr>
        <w:t xml:space="preserve">.2 </w:t>
      </w:r>
      <w:proofErr w:type="spellStart"/>
      <w:r w:rsidRPr="00640A47">
        <w:rPr>
          <w:rFonts w:cstheme="minorHAnsi"/>
          <w:sz w:val="24"/>
          <w:szCs w:val="24"/>
        </w:rPr>
        <w:t>CCCat</w:t>
      </w:r>
      <w:proofErr w:type="spellEnd"/>
      <w:r w:rsidRPr="00640A47">
        <w:rPr>
          <w:rFonts w:cstheme="minorHAnsi"/>
          <w:sz w:val="24"/>
          <w:szCs w:val="24"/>
        </w:rPr>
        <w:t xml:space="preserve"> que los hijos no comunes, mientras convivan con la familia, deben de contribuir proporcionalmente a ellas. De estos dos preceptos resulta una idea fundamental</w:t>
      </w:r>
      <w:r w:rsidR="00AF38E0" w:rsidRPr="00640A47">
        <w:rPr>
          <w:rFonts w:cstheme="minorHAnsi"/>
          <w:sz w:val="24"/>
          <w:szCs w:val="24"/>
        </w:rPr>
        <w:t>, coincidente con el Código Civil</w:t>
      </w:r>
      <w:r w:rsidRPr="00640A47">
        <w:rPr>
          <w:rFonts w:cstheme="minorHAnsi"/>
          <w:sz w:val="24"/>
          <w:szCs w:val="24"/>
        </w:rPr>
        <w:t>: la integración de los hijos no comunes por lo menos por lo que concierne a la economía familiar va unida a la convivencia.</w:t>
      </w:r>
    </w:p>
    <w:p w:rsidR="001D43E4" w:rsidRPr="00640A47" w:rsidRDefault="00171454" w:rsidP="00640A47">
      <w:pPr>
        <w:spacing w:line="312" w:lineRule="auto"/>
        <w:jc w:val="both"/>
        <w:rPr>
          <w:rFonts w:cstheme="minorHAnsi"/>
          <w:sz w:val="24"/>
          <w:szCs w:val="24"/>
        </w:rPr>
      </w:pPr>
      <w:r w:rsidRPr="00640A47">
        <w:rPr>
          <w:rFonts w:cstheme="minorHAnsi"/>
          <w:sz w:val="24"/>
          <w:szCs w:val="24"/>
        </w:rPr>
        <w:tab/>
        <w:t xml:space="preserve">Por otro lado, en materia de ejercicio de la potestad parental, el padrastro y la madrastra tienen derecho a participar en la toma de decisiones sobre los asuntos relativos a la vida diaria del hijo menor no común (art. 236-14 </w:t>
      </w:r>
      <w:proofErr w:type="spellStart"/>
      <w:r w:rsidRPr="00640A47">
        <w:rPr>
          <w:rFonts w:cstheme="minorHAnsi"/>
          <w:sz w:val="24"/>
          <w:szCs w:val="24"/>
        </w:rPr>
        <w:t>CCCat</w:t>
      </w:r>
      <w:proofErr w:type="spellEnd"/>
      <w:r w:rsidRPr="00640A47">
        <w:rPr>
          <w:rFonts w:cstheme="minorHAnsi"/>
          <w:sz w:val="24"/>
          <w:szCs w:val="24"/>
        </w:rPr>
        <w:t xml:space="preserve">, primer apartado), aunque prevalece la opinión del progenitor (segundo apartado), con la facultad de adoptar unilateralmente las medidas necesarias para el bienestar del menor en caso de riesgo inminente (tercer apartado). Además, el padrastro o la madrastra, en el supuesto del fallecimiento de su cónyuge o conviviente, puede ver atribuida la potestad sobre el hijastro o hijastra si ha convivido con el menor y muestran su </w:t>
      </w:r>
      <w:r w:rsidRPr="00640A47">
        <w:rPr>
          <w:rFonts w:cstheme="minorHAnsi"/>
          <w:sz w:val="24"/>
          <w:szCs w:val="24"/>
        </w:rPr>
        <w:lastRenderedPageBreak/>
        <w:t xml:space="preserve">acuerdo el otro progenitor y el propio menor, tras ser oídos (art. 236-15.2 </w:t>
      </w:r>
      <w:proofErr w:type="spellStart"/>
      <w:r w:rsidRPr="00640A47">
        <w:rPr>
          <w:rFonts w:cstheme="minorHAnsi"/>
          <w:sz w:val="24"/>
          <w:szCs w:val="24"/>
        </w:rPr>
        <w:t>CCCat</w:t>
      </w:r>
      <w:proofErr w:type="spellEnd"/>
      <w:r w:rsidRPr="00640A47">
        <w:rPr>
          <w:rFonts w:cstheme="minorHAnsi"/>
          <w:sz w:val="24"/>
          <w:szCs w:val="24"/>
        </w:rPr>
        <w:t>), y puede solicitar un régimen de visitas si no le corresponde la potestad conforme a este artículo si ha convivido con el menor durante los últimos dos años. Dos son las ideas que se desprenden: que para determinados efectos no es solo necesario haber convivido, sino estar conviviendo</w:t>
      </w:r>
      <w:r w:rsidR="002A2EE6" w:rsidRPr="00640A47">
        <w:rPr>
          <w:rStyle w:val="Refdenotaalpie"/>
          <w:rFonts w:cstheme="minorHAnsi"/>
          <w:sz w:val="24"/>
          <w:szCs w:val="24"/>
        </w:rPr>
        <w:footnoteReference w:id="13"/>
      </w:r>
      <w:r w:rsidR="001D43E4" w:rsidRPr="00640A47">
        <w:rPr>
          <w:rFonts w:cstheme="minorHAnsi"/>
          <w:sz w:val="24"/>
          <w:szCs w:val="24"/>
        </w:rPr>
        <w:t>,</w:t>
      </w:r>
      <w:r w:rsidRPr="00640A47">
        <w:rPr>
          <w:rFonts w:cstheme="minorHAnsi"/>
          <w:sz w:val="24"/>
          <w:szCs w:val="24"/>
        </w:rPr>
        <w:t xml:space="preserve"> y una determinada duración de la convivencia, que para el establecimiento de un régimen de visitas </w:t>
      </w:r>
      <w:r w:rsidR="001D43E4" w:rsidRPr="00640A47">
        <w:rPr>
          <w:rFonts w:cstheme="minorHAnsi"/>
          <w:sz w:val="24"/>
          <w:szCs w:val="24"/>
        </w:rPr>
        <w:t>se concreta en dos años</w:t>
      </w:r>
      <w:r w:rsidRPr="00640A47">
        <w:rPr>
          <w:rFonts w:cstheme="minorHAnsi"/>
          <w:sz w:val="24"/>
          <w:szCs w:val="24"/>
        </w:rPr>
        <w:t>.</w:t>
      </w:r>
    </w:p>
    <w:p w:rsidR="00034EF5" w:rsidRPr="00640A47" w:rsidRDefault="00034EF5" w:rsidP="00640A47">
      <w:pPr>
        <w:spacing w:line="312" w:lineRule="auto"/>
        <w:jc w:val="both"/>
        <w:rPr>
          <w:rFonts w:cstheme="minorHAnsi"/>
          <w:sz w:val="24"/>
          <w:szCs w:val="24"/>
        </w:rPr>
      </w:pPr>
      <w:r w:rsidRPr="00640A47">
        <w:rPr>
          <w:rFonts w:cstheme="minorHAnsi"/>
          <w:sz w:val="24"/>
          <w:szCs w:val="24"/>
        </w:rPr>
        <w:tab/>
        <w:t xml:space="preserve">Por último, el cónyuge o conviviente del progenitor puede ser llamado al cargo de tutor por el juez, conforme al art. 222-10.d) </w:t>
      </w:r>
      <w:proofErr w:type="spellStart"/>
      <w:r w:rsidRPr="00640A47">
        <w:rPr>
          <w:rFonts w:cstheme="minorHAnsi"/>
          <w:sz w:val="24"/>
          <w:szCs w:val="24"/>
        </w:rPr>
        <w:t>CCCat</w:t>
      </w:r>
      <w:proofErr w:type="spellEnd"/>
      <w:r w:rsidRPr="00640A47">
        <w:rPr>
          <w:rFonts w:cstheme="minorHAnsi"/>
          <w:sz w:val="24"/>
          <w:szCs w:val="24"/>
        </w:rPr>
        <w:t xml:space="preserve">. Debe notarse que en este orden de la delación dativa de la tutela el padrastro o madrastra solo tiene por detrás a los hermanos de la persona menor de edad o con capacidad de obrar modificada judicialmente, y que se exige la convivencia en el momento de la delación. </w:t>
      </w:r>
    </w:p>
    <w:p w:rsidR="00171454" w:rsidRPr="00640A47" w:rsidRDefault="001D43E4" w:rsidP="00640A47">
      <w:pPr>
        <w:spacing w:line="312" w:lineRule="auto"/>
        <w:jc w:val="both"/>
        <w:rPr>
          <w:rFonts w:cstheme="minorHAnsi"/>
          <w:sz w:val="24"/>
          <w:szCs w:val="24"/>
        </w:rPr>
      </w:pPr>
      <w:r w:rsidRPr="00640A47">
        <w:rPr>
          <w:rFonts w:cstheme="minorHAnsi"/>
          <w:sz w:val="24"/>
          <w:szCs w:val="24"/>
        </w:rPr>
        <w:tab/>
        <w:t>En materia sucesoria, la ley no concede derecho alguno a los hijastros e hijastras ni a padrastros y madrastras. La sucesión intestada y la legítima solo se defieren a quienes tienen lazos de sangre o de adopción, con la salvedad del cónyuge en la sucesión intestada.</w:t>
      </w:r>
      <w:r w:rsidR="00171454" w:rsidRPr="00640A47">
        <w:rPr>
          <w:rFonts w:cstheme="minorHAnsi"/>
          <w:sz w:val="24"/>
          <w:szCs w:val="24"/>
        </w:rPr>
        <w:t xml:space="preserve"> </w:t>
      </w:r>
      <w:r w:rsidRPr="00640A47">
        <w:rPr>
          <w:rFonts w:cstheme="minorHAnsi"/>
          <w:sz w:val="24"/>
          <w:szCs w:val="24"/>
        </w:rPr>
        <w:t xml:space="preserve">Ahora bien, sí hay dos normas que contemplan, una directamente y la otra implícitamente, a los hijos no comunes de las familias reconstituidas. La primera es el art. 422-13.4 </w:t>
      </w:r>
      <w:proofErr w:type="spellStart"/>
      <w:r w:rsidRPr="00640A47">
        <w:rPr>
          <w:rFonts w:cstheme="minorHAnsi"/>
          <w:sz w:val="24"/>
          <w:szCs w:val="24"/>
        </w:rPr>
        <w:t>CCCat</w:t>
      </w:r>
      <w:proofErr w:type="spellEnd"/>
      <w:r w:rsidRPr="00640A47">
        <w:rPr>
          <w:rFonts w:cstheme="minorHAnsi"/>
          <w:sz w:val="24"/>
          <w:szCs w:val="24"/>
        </w:rPr>
        <w:t xml:space="preserve">, introducido mediante la Ley 6/2015, de 13 de mayo, de armonización del </w:t>
      </w:r>
      <w:proofErr w:type="spellStart"/>
      <w:r w:rsidRPr="00640A47">
        <w:rPr>
          <w:rFonts w:cstheme="minorHAnsi"/>
          <w:sz w:val="24"/>
          <w:szCs w:val="24"/>
        </w:rPr>
        <w:t>CCCat</w:t>
      </w:r>
      <w:proofErr w:type="spellEnd"/>
      <w:r w:rsidRPr="00640A47">
        <w:rPr>
          <w:rFonts w:cstheme="minorHAnsi"/>
          <w:sz w:val="24"/>
          <w:szCs w:val="24"/>
        </w:rPr>
        <w:t xml:space="preserve">. Conforme a este precepto, la ineficacia automática de las cláusulas testamentarias a favor del cónyuge o conviviente a causa de la ruptura de la convivencia se hacen extensivas a los parientes que solo lo sean del cónyuge o conviviente, en la línea directa o colateral hasta el cuarto grado, por consanguinidad o afinidad. En el caso que tratamos, las disposiciones testamentarias a </w:t>
      </w:r>
      <w:r w:rsidR="002134CA" w:rsidRPr="00640A47">
        <w:rPr>
          <w:rFonts w:cstheme="minorHAnsi"/>
          <w:sz w:val="24"/>
          <w:szCs w:val="24"/>
        </w:rPr>
        <w:t xml:space="preserve">favor de los hijos no comunes se tornan ineficaces cuando el causante y el progenitor de estos rompen la convivencia. Puede pensarse que únicamente se contemplan los hijastros e hijastras para un efecto negativo como es la pérdida de derechos sucesorios, lo que a su vez presupone que el legislador concibe como posible que el padrastro o madrastra desee beneficiar en la sucesión </w:t>
      </w:r>
      <w:r w:rsidR="002134CA" w:rsidRPr="00640A47">
        <w:rPr>
          <w:rFonts w:cstheme="minorHAnsi"/>
          <w:i/>
          <w:sz w:val="24"/>
          <w:szCs w:val="24"/>
        </w:rPr>
        <w:t xml:space="preserve">mortis causa </w:t>
      </w:r>
      <w:r w:rsidR="002134CA" w:rsidRPr="00640A47">
        <w:rPr>
          <w:rFonts w:cstheme="minorHAnsi"/>
          <w:sz w:val="24"/>
          <w:szCs w:val="24"/>
        </w:rPr>
        <w:t xml:space="preserve">a los hijos de su pareja. Sin embargo, la decisión legislativa es lógica: la relación entre el causante y los hijos no comunes no es directa, sino a través de la pareja/progenitor de los hijos, de modo que si se rompe el vínculo con el progenitor es razonable que se presuma que también se rompe con los hijos que lo son únicamente de este. Debe recordarse que, en todo caso, el precepto lo es de integración de la voluntad del difunto, de modo que si quiso beneficiar en cualquier caso a los hijos no </w:t>
      </w:r>
      <w:r w:rsidR="002134CA" w:rsidRPr="00640A47">
        <w:rPr>
          <w:rFonts w:cstheme="minorHAnsi"/>
          <w:sz w:val="24"/>
          <w:szCs w:val="24"/>
        </w:rPr>
        <w:lastRenderedPageBreak/>
        <w:t>comunes, la cláusula testamentaria mantendrá su eficacia tal como prevé el apartado tercero del art. 422-13</w:t>
      </w:r>
      <w:r w:rsidR="002134CA" w:rsidRPr="00640A47">
        <w:rPr>
          <w:rStyle w:val="Refdenotaalpie"/>
          <w:rFonts w:cstheme="minorHAnsi"/>
          <w:sz w:val="24"/>
          <w:szCs w:val="24"/>
        </w:rPr>
        <w:footnoteReference w:id="14"/>
      </w:r>
      <w:r w:rsidR="002134CA" w:rsidRPr="00640A47">
        <w:rPr>
          <w:rFonts w:cstheme="minorHAnsi"/>
          <w:sz w:val="24"/>
          <w:szCs w:val="24"/>
        </w:rPr>
        <w:t>.</w:t>
      </w:r>
    </w:p>
    <w:p w:rsidR="00A856D0" w:rsidRPr="00640A47" w:rsidRDefault="00A856D0" w:rsidP="00640A47">
      <w:pPr>
        <w:spacing w:line="312" w:lineRule="auto"/>
        <w:jc w:val="both"/>
        <w:rPr>
          <w:rFonts w:cstheme="minorHAnsi"/>
          <w:i/>
          <w:sz w:val="24"/>
          <w:szCs w:val="24"/>
        </w:rPr>
      </w:pPr>
      <w:r w:rsidRPr="00640A47">
        <w:rPr>
          <w:rFonts w:cstheme="minorHAnsi"/>
          <w:sz w:val="24"/>
          <w:szCs w:val="24"/>
        </w:rPr>
        <w:tab/>
        <w:t xml:space="preserve">La norma que contempla indirectamente a las familias reconstituidas </w:t>
      </w:r>
      <w:r w:rsidR="0071179B" w:rsidRPr="00640A47">
        <w:rPr>
          <w:rFonts w:cstheme="minorHAnsi"/>
          <w:sz w:val="24"/>
          <w:szCs w:val="24"/>
        </w:rPr>
        <w:t xml:space="preserve">es el art. 442-2.2. Dispone que si </w:t>
      </w:r>
      <w:r w:rsidR="00780168" w:rsidRPr="00640A47">
        <w:rPr>
          <w:rFonts w:cstheme="minorHAnsi"/>
          <w:sz w:val="24"/>
          <w:szCs w:val="24"/>
        </w:rPr>
        <w:t>e</w:t>
      </w:r>
      <w:r w:rsidR="0071179B" w:rsidRPr="00640A47">
        <w:rPr>
          <w:rFonts w:cstheme="minorHAnsi"/>
          <w:sz w:val="24"/>
          <w:szCs w:val="24"/>
        </w:rPr>
        <w:t>n la sucesión intestada todos los hijos repudian la herencia, esta no se defiere a los descendientes de grado ulterior –nietos, biznietos, etc</w:t>
      </w:r>
      <w:proofErr w:type="gramStart"/>
      <w:r w:rsidR="0071179B" w:rsidRPr="00640A47">
        <w:rPr>
          <w:rFonts w:cstheme="minorHAnsi"/>
          <w:sz w:val="24"/>
          <w:szCs w:val="24"/>
        </w:rPr>
        <w:t>.–</w:t>
      </w:r>
      <w:proofErr w:type="gramEnd"/>
      <w:r w:rsidR="0071179B" w:rsidRPr="00640A47">
        <w:rPr>
          <w:rFonts w:cstheme="minorHAnsi"/>
          <w:sz w:val="24"/>
          <w:szCs w:val="24"/>
        </w:rPr>
        <w:t xml:space="preserve">, sino al cónyuge o conviviente, pero siempre que este sea el progenitor común de aquellos. Dicho de otra manera, si la familia es reconstituida, la renuncia de todos los hijos del causante no tiene como efecto que sea el heredero el cónyuge o conviviente. La presencia de hijos no comunes en la sucesión evita este efecto automático. Nada impide que todos los llamados alcancen un acuerdo en idéntico sentido, pero ese acuerdo será imprescindible, ya que el salto de orden sucesorio no se producirá </w:t>
      </w:r>
      <w:proofErr w:type="spellStart"/>
      <w:r w:rsidR="0071179B" w:rsidRPr="00640A47">
        <w:rPr>
          <w:rFonts w:cstheme="minorHAnsi"/>
          <w:i/>
          <w:sz w:val="24"/>
          <w:szCs w:val="24"/>
        </w:rPr>
        <w:t>ope</w:t>
      </w:r>
      <w:proofErr w:type="spellEnd"/>
      <w:r w:rsidR="0071179B" w:rsidRPr="00640A47">
        <w:rPr>
          <w:rFonts w:cstheme="minorHAnsi"/>
          <w:i/>
          <w:sz w:val="24"/>
          <w:szCs w:val="24"/>
        </w:rPr>
        <w:t xml:space="preserve"> </w:t>
      </w:r>
      <w:proofErr w:type="spellStart"/>
      <w:r w:rsidR="0071179B" w:rsidRPr="00640A47">
        <w:rPr>
          <w:rFonts w:cstheme="minorHAnsi"/>
          <w:i/>
          <w:sz w:val="24"/>
          <w:szCs w:val="24"/>
        </w:rPr>
        <w:t>legis</w:t>
      </w:r>
      <w:proofErr w:type="spellEnd"/>
      <w:r w:rsidR="0071179B" w:rsidRPr="00640A47">
        <w:rPr>
          <w:rFonts w:cstheme="minorHAnsi"/>
          <w:i/>
          <w:sz w:val="24"/>
          <w:szCs w:val="24"/>
        </w:rPr>
        <w:t>.</w:t>
      </w:r>
    </w:p>
    <w:p w:rsidR="005A6BF9" w:rsidRPr="00640A47" w:rsidRDefault="0071179B" w:rsidP="00640A47">
      <w:pPr>
        <w:spacing w:line="312" w:lineRule="auto"/>
        <w:jc w:val="both"/>
        <w:rPr>
          <w:rFonts w:cstheme="minorHAnsi"/>
          <w:sz w:val="24"/>
          <w:szCs w:val="24"/>
        </w:rPr>
      </w:pPr>
      <w:r w:rsidRPr="00640A47">
        <w:rPr>
          <w:rFonts w:cstheme="minorHAnsi"/>
          <w:i/>
          <w:sz w:val="24"/>
          <w:szCs w:val="24"/>
        </w:rPr>
        <w:tab/>
      </w:r>
      <w:r w:rsidRPr="00640A47">
        <w:rPr>
          <w:rFonts w:cstheme="minorHAnsi"/>
          <w:sz w:val="24"/>
          <w:szCs w:val="24"/>
        </w:rPr>
        <w:t>De estas dos normas pueden desprenderse dos ideas: el legislador admite que el causante puede no distinguir entre hijos comunes y no comunes dentro de la familia reconstituida,</w:t>
      </w:r>
      <w:r w:rsidR="00CE6168" w:rsidRPr="00640A47">
        <w:rPr>
          <w:rFonts w:cstheme="minorHAnsi"/>
          <w:sz w:val="24"/>
          <w:szCs w:val="24"/>
        </w:rPr>
        <w:t xml:space="preserve"> y ordenar disposiciones testamentarias a su favor,</w:t>
      </w:r>
      <w:r w:rsidRPr="00640A47">
        <w:rPr>
          <w:rFonts w:cstheme="minorHAnsi"/>
          <w:sz w:val="24"/>
          <w:szCs w:val="24"/>
        </w:rPr>
        <w:t xml:space="preserve"> pero el trato legal que va a dispensarles no va a ser idéntico en cuanto a la adquisición de derechos en la herencia.</w:t>
      </w:r>
    </w:p>
    <w:p w:rsidR="005A6BF9" w:rsidRPr="00F72D1E" w:rsidRDefault="00511B10" w:rsidP="00640A47">
      <w:pPr>
        <w:spacing w:line="312" w:lineRule="auto"/>
        <w:jc w:val="both"/>
        <w:rPr>
          <w:rFonts w:cstheme="minorHAnsi"/>
          <w:b/>
          <w:i/>
          <w:sz w:val="24"/>
          <w:szCs w:val="24"/>
        </w:rPr>
      </w:pPr>
      <w:r w:rsidRPr="00F72D1E">
        <w:rPr>
          <w:rFonts w:cstheme="minorHAnsi"/>
          <w:b/>
          <w:i/>
          <w:sz w:val="24"/>
          <w:szCs w:val="24"/>
        </w:rPr>
        <w:t>2.</w:t>
      </w:r>
      <w:r w:rsidR="006B4FDC" w:rsidRPr="00F72D1E">
        <w:rPr>
          <w:rFonts w:cstheme="minorHAnsi"/>
          <w:b/>
          <w:i/>
          <w:sz w:val="24"/>
          <w:szCs w:val="24"/>
        </w:rPr>
        <w:t>3. El Código Foral de Aragón</w:t>
      </w:r>
    </w:p>
    <w:p w:rsidR="006B4FDC" w:rsidRPr="00640A47" w:rsidRDefault="006B4FDC" w:rsidP="00640A47">
      <w:pPr>
        <w:spacing w:line="312" w:lineRule="auto"/>
        <w:jc w:val="both"/>
        <w:rPr>
          <w:rFonts w:cstheme="minorHAnsi"/>
          <w:sz w:val="24"/>
          <w:szCs w:val="24"/>
        </w:rPr>
      </w:pPr>
      <w:r w:rsidRPr="00640A47">
        <w:rPr>
          <w:rFonts w:cstheme="minorHAnsi"/>
          <w:sz w:val="24"/>
          <w:szCs w:val="24"/>
        </w:rPr>
        <w:tab/>
        <w:t>El art. 85 del CFA se dedica a la “Autoridad familiar del padrastro o la madrastra”, y establece que el cónyuge  del  único  titular  de  la  autoridad  familiar  sobre  un  menor  que  conviva con ambos comparte el ejercicio de dicha autoridad. Como resulta evidente, se contempla exclusivamente una modalidad de familia reconstituida: la formada por el único progenitor que es titular de la autoridad familiar y otra persona más el menor o menores que conviven con la pareja, de modo que el artículo no se aplica cuando los dos progenitores son titulares de la autoridad familiar. Se trata, en todo caso, de una atribución automática de la autoridad al cónyuge del progenitor, con el mismo contenido (art. 88 CFA).</w:t>
      </w:r>
      <w:r w:rsidR="006022CC" w:rsidRPr="00640A47">
        <w:rPr>
          <w:rFonts w:cstheme="minorHAnsi"/>
          <w:sz w:val="24"/>
          <w:szCs w:val="24"/>
        </w:rPr>
        <w:t xml:space="preserve"> Además, se prevé que, fallecido el único titular de la autoridad familiar, su cónyuge podrá continuar teniendo en su compañía a los hijos menores de aquel y encargarse de su crianza y educación, asumiendo a tales fines la correspondiente autoridad familiar, con lo que ya no se trata </w:t>
      </w:r>
      <w:r w:rsidR="006022CC" w:rsidRPr="00640A47">
        <w:rPr>
          <w:rFonts w:cstheme="minorHAnsi"/>
          <w:sz w:val="24"/>
          <w:szCs w:val="24"/>
        </w:rPr>
        <w:lastRenderedPageBreak/>
        <w:t>del ejercicio, sino que se convierte en titular de la autoridad</w:t>
      </w:r>
      <w:r w:rsidR="006022CC" w:rsidRPr="00640A47">
        <w:rPr>
          <w:rStyle w:val="Refdenotaalpie"/>
          <w:rFonts w:cstheme="minorHAnsi"/>
          <w:sz w:val="24"/>
          <w:szCs w:val="24"/>
        </w:rPr>
        <w:footnoteReference w:id="15"/>
      </w:r>
      <w:r w:rsidR="006022CC" w:rsidRPr="00640A47">
        <w:rPr>
          <w:rFonts w:cstheme="minorHAnsi"/>
          <w:sz w:val="24"/>
          <w:szCs w:val="24"/>
        </w:rPr>
        <w:t>.</w:t>
      </w:r>
      <w:r w:rsidR="00034EF5" w:rsidRPr="00640A47">
        <w:rPr>
          <w:rFonts w:cstheme="minorHAnsi"/>
          <w:sz w:val="24"/>
          <w:szCs w:val="24"/>
        </w:rPr>
        <w:t xml:space="preserve"> </w:t>
      </w:r>
      <w:r w:rsidR="00AF38E0" w:rsidRPr="00640A47">
        <w:rPr>
          <w:rFonts w:cstheme="minorHAnsi"/>
          <w:sz w:val="24"/>
          <w:szCs w:val="24"/>
        </w:rPr>
        <w:t>Por su parte</w:t>
      </w:r>
      <w:r w:rsidR="00034EF5" w:rsidRPr="00640A47">
        <w:rPr>
          <w:rFonts w:cstheme="minorHAnsi"/>
          <w:sz w:val="24"/>
          <w:szCs w:val="24"/>
        </w:rPr>
        <w:t xml:space="preserve">, el art. 116.1.b) prevé que el padrastro y la madrastra puedan asumir la tutela, al aparecer en la enumeración de legitimados para la delación dativa, tras cónyuge, descendientes y progenitores, en el mismo grupo que los abuelos y los hermanos de la persona con la capacidad de obrar restringida. </w:t>
      </w:r>
      <w:r w:rsidR="00AF38E0" w:rsidRPr="00640A47">
        <w:rPr>
          <w:rFonts w:cstheme="minorHAnsi"/>
          <w:sz w:val="24"/>
          <w:szCs w:val="24"/>
        </w:rPr>
        <w:t>Finalmente, el art. 218.1.a) considera deuda común del consorcio conyugal la crianza y educación de los hijos propios de cada cónyuge que convivan con el matrimonio.</w:t>
      </w:r>
    </w:p>
    <w:p w:rsidR="006535B2" w:rsidRPr="00640A47" w:rsidRDefault="006535B2" w:rsidP="00640A47">
      <w:pPr>
        <w:spacing w:line="312" w:lineRule="auto"/>
        <w:jc w:val="both"/>
        <w:rPr>
          <w:rFonts w:cstheme="minorHAnsi"/>
          <w:sz w:val="24"/>
          <w:szCs w:val="24"/>
        </w:rPr>
      </w:pPr>
      <w:r w:rsidRPr="00640A47">
        <w:rPr>
          <w:rFonts w:cstheme="minorHAnsi"/>
          <w:sz w:val="24"/>
          <w:szCs w:val="24"/>
        </w:rPr>
        <w:tab/>
        <w:t>En derecho de sucesiones, la familia reconstituida apenas aparece en materia de usufructo vidual. La disposición transitoria 11 CFA señala que en el supuesto de existencia de hijos no comunes del cónyuge premuerto, a la extensión del usufructo de viudedad ya causado el 23 de abril de 2003 se le siguen aplicando las limitaciones del artículo 73 de la Compilación del Derecho Civil, esto es, que el usufructo no se extiende sino a la mitad de la herencia. Esta limitación ahora es exclusivamente voluntaria, pues de acuerdo con el art. 283.3 CFA, por voluntad de uno de los cónyuges expresada en testamento o escritura pública, podrán excluirse del usufructo vidual los bienes de su herencia que recaigan en descendientes suyos que no sean comunes, siempre que el valor de esos bienes no exceda de la mitad del caudal hereditario. Es una prevención derivada de la constatación práctica que con cierta frecuencia las relaciones dentro de la familia reconstituida son conflictivas</w:t>
      </w:r>
      <w:r w:rsidRPr="00640A47">
        <w:rPr>
          <w:rStyle w:val="Refdenotaalpie"/>
          <w:rFonts w:cstheme="minorHAnsi"/>
          <w:sz w:val="24"/>
          <w:szCs w:val="24"/>
        </w:rPr>
        <w:footnoteReference w:id="16"/>
      </w:r>
      <w:r w:rsidRPr="00640A47">
        <w:rPr>
          <w:rFonts w:cstheme="minorHAnsi"/>
          <w:sz w:val="24"/>
          <w:szCs w:val="24"/>
        </w:rPr>
        <w:t>.</w:t>
      </w:r>
    </w:p>
    <w:p w:rsidR="00175581" w:rsidRPr="00F72D1E" w:rsidRDefault="00511B10" w:rsidP="00640A47">
      <w:pPr>
        <w:spacing w:line="312" w:lineRule="auto"/>
        <w:jc w:val="both"/>
        <w:rPr>
          <w:rFonts w:cstheme="minorHAnsi"/>
          <w:b/>
          <w:i/>
          <w:sz w:val="24"/>
          <w:szCs w:val="24"/>
        </w:rPr>
      </w:pPr>
      <w:r w:rsidRPr="00F72D1E">
        <w:rPr>
          <w:rFonts w:cstheme="minorHAnsi"/>
          <w:b/>
          <w:i/>
          <w:sz w:val="24"/>
          <w:szCs w:val="24"/>
        </w:rPr>
        <w:t>2.</w:t>
      </w:r>
      <w:r w:rsidR="00175581" w:rsidRPr="00F72D1E">
        <w:rPr>
          <w:rFonts w:cstheme="minorHAnsi"/>
          <w:b/>
          <w:i/>
          <w:sz w:val="24"/>
          <w:szCs w:val="24"/>
        </w:rPr>
        <w:t xml:space="preserve">4. La Compilación </w:t>
      </w:r>
      <w:r w:rsidR="006D3947">
        <w:rPr>
          <w:rFonts w:cstheme="minorHAnsi"/>
          <w:b/>
          <w:i/>
          <w:sz w:val="24"/>
          <w:szCs w:val="24"/>
        </w:rPr>
        <w:t xml:space="preserve">del Derecho civil de </w:t>
      </w:r>
      <w:r w:rsidR="00175581" w:rsidRPr="00F72D1E">
        <w:rPr>
          <w:rFonts w:cstheme="minorHAnsi"/>
          <w:b/>
          <w:i/>
          <w:sz w:val="24"/>
          <w:szCs w:val="24"/>
        </w:rPr>
        <w:t>Navarra</w:t>
      </w:r>
    </w:p>
    <w:p w:rsidR="00175581" w:rsidRPr="00640A47" w:rsidRDefault="00175581" w:rsidP="00640A47">
      <w:pPr>
        <w:spacing w:line="312" w:lineRule="auto"/>
        <w:jc w:val="both"/>
        <w:rPr>
          <w:rFonts w:cstheme="minorHAnsi"/>
          <w:sz w:val="24"/>
          <w:szCs w:val="24"/>
        </w:rPr>
      </w:pPr>
      <w:r w:rsidRPr="00640A47">
        <w:rPr>
          <w:rFonts w:cstheme="minorHAnsi"/>
          <w:sz w:val="24"/>
          <w:szCs w:val="24"/>
        </w:rPr>
        <w:tab/>
      </w:r>
      <w:r w:rsidR="00A746D8" w:rsidRPr="00640A47">
        <w:rPr>
          <w:rFonts w:cstheme="minorHAnsi"/>
          <w:sz w:val="24"/>
          <w:szCs w:val="24"/>
        </w:rPr>
        <w:t>Por lo que al derecho civil de Navarra concierne, uno de los principios básicos por los que se rige es la protección de los hijos de matrimonios anteriores tanto en la liquidación del régimen económico como en la sucesión (art. 77, 157, 122 y 339 FNN), en lo que constituyen destacadas restricciones a la amplia libertad testamentaria de que gozan las personas con vecindad civil navarra</w:t>
      </w:r>
      <w:r w:rsidR="00A746D8" w:rsidRPr="00640A47">
        <w:rPr>
          <w:rStyle w:val="Refdenotaalpie"/>
          <w:rFonts w:cstheme="minorHAnsi"/>
          <w:sz w:val="24"/>
          <w:szCs w:val="24"/>
        </w:rPr>
        <w:footnoteReference w:id="17"/>
      </w:r>
      <w:r w:rsidR="00A746D8" w:rsidRPr="00640A47">
        <w:rPr>
          <w:rFonts w:cstheme="minorHAnsi"/>
          <w:sz w:val="24"/>
          <w:szCs w:val="24"/>
        </w:rPr>
        <w:t xml:space="preserve">. El derecho a la igualación de los hijos del causante de su primer matrimonio con los del segundo (art. 272-273 FNN) y los derechos de los hijos en la </w:t>
      </w:r>
      <w:r w:rsidR="00527A61" w:rsidRPr="00640A47">
        <w:rPr>
          <w:rFonts w:cstheme="minorHAnsi"/>
          <w:sz w:val="24"/>
          <w:szCs w:val="24"/>
        </w:rPr>
        <w:t>l</w:t>
      </w:r>
      <w:r w:rsidR="00A746D8" w:rsidRPr="00640A47">
        <w:rPr>
          <w:rFonts w:cstheme="minorHAnsi"/>
          <w:sz w:val="24"/>
          <w:szCs w:val="24"/>
        </w:rPr>
        <w:t>iquidación de sociedades de conquista habiendo descendientes de varios matrimonios anteriores</w:t>
      </w:r>
      <w:r w:rsidR="00527A61" w:rsidRPr="00640A47">
        <w:rPr>
          <w:rFonts w:cstheme="minorHAnsi"/>
          <w:sz w:val="24"/>
          <w:szCs w:val="24"/>
        </w:rPr>
        <w:t xml:space="preserve"> (art. 109 FNN) presuponen necesariamente una familia reconstituida, y este es también uno de los supuestos de hecho de la reserva </w:t>
      </w:r>
      <w:proofErr w:type="spellStart"/>
      <w:r w:rsidR="00527A61" w:rsidRPr="00640A47">
        <w:rPr>
          <w:rFonts w:cstheme="minorHAnsi"/>
          <w:sz w:val="24"/>
          <w:szCs w:val="24"/>
        </w:rPr>
        <w:t>binupcial</w:t>
      </w:r>
      <w:proofErr w:type="spellEnd"/>
      <w:r w:rsidR="00527A61" w:rsidRPr="00640A47">
        <w:rPr>
          <w:rFonts w:cstheme="minorHAnsi"/>
          <w:sz w:val="24"/>
          <w:szCs w:val="24"/>
        </w:rPr>
        <w:t xml:space="preserve"> (art. 274 </w:t>
      </w:r>
      <w:proofErr w:type="spellStart"/>
      <w:r w:rsidR="00527A61" w:rsidRPr="00640A47">
        <w:rPr>
          <w:rFonts w:cstheme="minorHAnsi"/>
          <w:sz w:val="24"/>
          <w:szCs w:val="24"/>
        </w:rPr>
        <w:t>ss</w:t>
      </w:r>
      <w:proofErr w:type="spellEnd"/>
      <w:r w:rsidR="00527A61" w:rsidRPr="00640A47">
        <w:rPr>
          <w:rFonts w:cstheme="minorHAnsi"/>
          <w:sz w:val="24"/>
          <w:szCs w:val="24"/>
        </w:rPr>
        <w:t xml:space="preserve"> FNN). Por consiguiente, el derecho navarro </w:t>
      </w:r>
      <w:r w:rsidR="00527A61" w:rsidRPr="00640A47">
        <w:rPr>
          <w:rFonts w:cstheme="minorHAnsi"/>
          <w:sz w:val="24"/>
          <w:szCs w:val="24"/>
        </w:rPr>
        <w:lastRenderedPageBreak/>
        <w:t>solo contempla a la familia reconstituida desde el particular interés de algunos de sus miembros, pero carece</w:t>
      </w:r>
      <w:r w:rsidR="000E635B" w:rsidRPr="00640A47">
        <w:rPr>
          <w:rFonts w:cstheme="minorHAnsi"/>
          <w:sz w:val="24"/>
          <w:szCs w:val="24"/>
        </w:rPr>
        <w:t xml:space="preserve"> de una perspectiva más global sobre los derechos y deberes familiares en el seno de este tipo familiar</w:t>
      </w:r>
      <w:r w:rsidR="00C97BC8" w:rsidRPr="00640A47">
        <w:rPr>
          <w:rFonts w:cstheme="minorHAnsi"/>
          <w:sz w:val="24"/>
          <w:szCs w:val="24"/>
        </w:rPr>
        <w:t xml:space="preserve">, pues incluso cuando el art. </w:t>
      </w:r>
      <w:r w:rsidR="003A3D00" w:rsidRPr="00640A47">
        <w:rPr>
          <w:rFonts w:cstheme="minorHAnsi"/>
          <w:sz w:val="24"/>
          <w:szCs w:val="24"/>
        </w:rPr>
        <w:t>84.1.1 considera como carga de la sociedad de conquistas la alimentación y educación de los hijos de uno de los cónyuges, lo restringe a que no hubiese hecho la partición y entrega de los bienes del art. 105 FNN.</w:t>
      </w:r>
    </w:p>
    <w:p w:rsidR="000E635B" w:rsidRPr="00640A47" w:rsidRDefault="00511B10" w:rsidP="00640A47">
      <w:pPr>
        <w:spacing w:line="312" w:lineRule="auto"/>
        <w:jc w:val="both"/>
        <w:rPr>
          <w:rFonts w:cstheme="minorHAnsi"/>
          <w:b/>
          <w:sz w:val="24"/>
          <w:szCs w:val="24"/>
        </w:rPr>
      </w:pPr>
      <w:r>
        <w:rPr>
          <w:rFonts w:cstheme="minorHAnsi"/>
          <w:b/>
          <w:sz w:val="24"/>
          <w:szCs w:val="24"/>
        </w:rPr>
        <w:t>3</w:t>
      </w:r>
      <w:r w:rsidR="000E635B" w:rsidRPr="00640A47">
        <w:rPr>
          <w:rFonts w:cstheme="minorHAnsi"/>
          <w:b/>
          <w:sz w:val="24"/>
          <w:szCs w:val="24"/>
        </w:rPr>
        <w:t>. DOS EJEMPLOS EN EL DERECHO COMPARADO</w:t>
      </w:r>
    </w:p>
    <w:p w:rsidR="000E635B" w:rsidRPr="00F72D1E" w:rsidRDefault="00511B10" w:rsidP="00640A47">
      <w:pPr>
        <w:spacing w:line="312" w:lineRule="auto"/>
        <w:jc w:val="both"/>
        <w:rPr>
          <w:rFonts w:cstheme="minorHAnsi"/>
          <w:b/>
          <w:i/>
          <w:sz w:val="24"/>
          <w:szCs w:val="24"/>
          <w:lang w:val="en-US"/>
        </w:rPr>
      </w:pPr>
      <w:r w:rsidRPr="00F72D1E">
        <w:rPr>
          <w:rFonts w:cstheme="minorHAnsi"/>
          <w:b/>
          <w:i/>
          <w:sz w:val="24"/>
          <w:szCs w:val="24"/>
          <w:lang w:val="en-US"/>
        </w:rPr>
        <w:t>3.</w:t>
      </w:r>
      <w:r w:rsidR="000E635B" w:rsidRPr="00F72D1E">
        <w:rPr>
          <w:rFonts w:cstheme="minorHAnsi"/>
          <w:b/>
          <w:i/>
          <w:sz w:val="24"/>
          <w:szCs w:val="24"/>
          <w:lang w:val="en-US"/>
        </w:rPr>
        <w:t xml:space="preserve">1. La family provision a favor </w:t>
      </w:r>
      <w:proofErr w:type="gramStart"/>
      <w:r w:rsidR="000E635B" w:rsidRPr="00F72D1E">
        <w:rPr>
          <w:rFonts w:cstheme="minorHAnsi"/>
          <w:b/>
          <w:i/>
          <w:sz w:val="24"/>
          <w:szCs w:val="24"/>
          <w:lang w:val="en-US"/>
        </w:rPr>
        <w:t>del</w:t>
      </w:r>
      <w:proofErr w:type="gramEnd"/>
      <w:r w:rsidR="000E635B" w:rsidRPr="00F72D1E">
        <w:rPr>
          <w:rFonts w:cstheme="minorHAnsi"/>
          <w:b/>
          <w:i/>
          <w:sz w:val="24"/>
          <w:szCs w:val="24"/>
          <w:lang w:val="en-US"/>
        </w:rPr>
        <w:t xml:space="preserve"> child of the family</w:t>
      </w:r>
    </w:p>
    <w:p w:rsidR="000E635B" w:rsidRPr="00640A47" w:rsidRDefault="000E635B" w:rsidP="00640A47">
      <w:pPr>
        <w:spacing w:line="312" w:lineRule="auto"/>
        <w:jc w:val="both"/>
        <w:rPr>
          <w:rFonts w:cstheme="minorHAnsi"/>
          <w:sz w:val="24"/>
          <w:szCs w:val="24"/>
        </w:rPr>
      </w:pPr>
      <w:r w:rsidRPr="00640A47">
        <w:rPr>
          <w:rFonts w:cstheme="minorHAnsi"/>
          <w:sz w:val="24"/>
          <w:szCs w:val="24"/>
          <w:lang w:val="en-US"/>
        </w:rPr>
        <w:tab/>
      </w:r>
      <w:r w:rsidR="00AF5C30" w:rsidRPr="00640A47">
        <w:rPr>
          <w:rFonts w:cstheme="minorHAnsi"/>
          <w:sz w:val="24"/>
          <w:szCs w:val="24"/>
        </w:rPr>
        <w:t xml:space="preserve">El derecho inglés y de Gales reconoce el derecho a obtener una </w:t>
      </w:r>
      <w:proofErr w:type="spellStart"/>
      <w:r w:rsidR="00AF5C30" w:rsidRPr="00640A47">
        <w:rPr>
          <w:rFonts w:cstheme="minorHAnsi"/>
          <w:i/>
          <w:sz w:val="24"/>
          <w:szCs w:val="24"/>
        </w:rPr>
        <w:t>family</w:t>
      </w:r>
      <w:proofErr w:type="spellEnd"/>
      <w:r w:rsidR="00AF5C30" w:rsidRPr="00640A47">
        <w:rPr>
          <w:rFonts w:cstheme="minorHAnsi"/>
          <w:i/>
          <w:sz w:val="24"/>
          <w:szCs w:val="24"/>
        </w:rPr>
        <w:t xml:space="preserve"> </w:t>
      </w:r>
      <w:proofErr w:type="spellStart"/>
      <w:r w:rsidR="00AF5C30" w:rsidRPr="00640A47">
        <w:rPr>
          <w:rFonts w:cstheme="minorHAnsi"/>
          <w:i/>
          <w:sz w:val="24"/>
          <w:szCs w:val="24"/>
        </w:rPr>
        <w:t>provision</w:t>
      </w:r>
      <w:proofErr w:type="spellEnd"/>
      <w:r w:rsidR="00AF5C30" w:rsidRPr="00640A47">
        <w:rPr>
          <w:rFonts w:cstheme="minorHAnsi"/>
          <w:sz w:val="24"/>
          <w:szCs w:val="24"/>
        </w:rPr>
        <w:t xml:space="preserve"> a diversas personas. En otro lugar hemos dicho que la </w:t>
      </w:r>
      <w:proofErr w:type="spellStart"/>
      <w:r w:rsidR="00AF5C30" w:rsidRPr="00640A47">
        <w:rPr>
          <w:rFonts w:cstheme="minorHAnsi"/>
          <w:i/>
          <w:sz w:val="24"/>
          <w:szCs w:val="24"/>
        </w:rPr>
        <w:t>family</w:t>
      </w:r>
      <w:proofErr w:type="spellEnd"/>
      <w:r w:rsidR="00AF5C30" w:rsidRPr="00640A47">
        <w:rPr>
          <w:rFonts w:cstheme="minorHAnsi"/>
          <w:i/>
          <w:sz w:val="24"/>
          <w:szCs w:val="24"/>
        </w:rPr>
        <w:t xml:space="preserve"> </w:t>
      </w:r>
      <w:proofErr w:type="spellStart"/>
      <w:r w:rsidR="00AF5C30" w:rsidRPr="00640A47">
        <w:rPr>
          <w:rFonts w:cstheme="minorHAnsi"/>
          <w:i/>
          <w:sz w:val="24"/>
          <w:szCs w:val="24"/>
        </w:rPr>
        <w:t>provision</w:t>
      </w:r>
      <w:proofErr w:type="spellEnd"/>
      <w:r w:rsidR="00AF5C30" w:rsidRPr="00640A47">
        <w:rPr>
          <w:rFonts w:cstheme="minorHAnsi"/>
          <w:sz w:val="24"/>
          <w:szCs w:val="24"/>
        </w:rPr>
        <w:t xml:space="preserve"> puede asimilarse, funcionalmente, a nuestra legítima, pese a las notables diferencias entre ambas figuras</w:t>
      </w:r>
      <w:r w:rsidR="00AF5C30" w:rsidRPr="00640A47">
        <w:rPr>
          <w:rStyle w:val="Refdenotaalpie"/>
          <w:rFonts w:cstheme="minorHAnsi"/>
          <w:sz w:val="24"/>
          <w:szCs w:val="24"/>
        </w:rPr>
        <w:footnoteReference w:id="18"/>
      </w:r>
      <w:r w:rsidR="00AF5C30" w:rsidRPr="00640A47">
        <w:rPr>
          <w:rFonts w:cstheme="minorHAnsi"/>
          <w:sz w:val="24"/>
          <w:szCs w:val="24"/>
        </w:rPr>
        <w:t xml:space="preserve">. </w:t>
      </w:r>
      <w:r w:rsidR="00AF5C30" w:rsidRPr="00640A47">
        <w:rPr>
          <w:rFonts w:cstheme="minorHAnsi"/>
          <w:sz w:val="24"/>
          <w:szCs w:val="24"/>
          <w:lang w:val="en-US"/>
        </w:rPr>
        <w:t>E</w:t>
      </w:r>
      <w:r w:rsidR="00BD6152" w:rsidRPr="00640A47">
        <w:rPr>
          <w:rFonts w:cstheme="minorHAnsi"/>
          <w:sz w:val="24"/>
          <w:szCs w:val="24"/>
          <w:lang w:val="en-US"/>
        </w:rPr>
        <w:t xml:space="preserve">ntre </w:t>
      </w:r>
      <w:proofErr w:type="spellStart"/>
      <w:r w:rsidR="00BD6152" w:rsidRPr="00640A47">
        <w:rPr>
          <w:rFonts w:cstheme="minorHAnsi"/>
          <w:sz w:val="24"/>
          <w:szCs w:val="24"/>
          <w:lang w:val="en-US"/>
        </w:rPr>
        <w:t>estas</w:t>
      </w:r>
      <w:proofErr w:type="spellEnd"/>
      <w:r w:rsidR="00BD6152" w:rsidRPr="00640A47">
        <w:rPr>
          <w:rFonts w:cstheme="minorHAnsi"/>
          <w:sz w:val="24"/>
          <w:szCs w:val="24"/>
          <w:lang w:val="en-US"/>
        </w:rPr>
        <w:t xml:space="preserve"> personas </w:t>
      </w:r>
      <w:proofErr w:type="spellStart"/>
      <w:r w:rsidR="00BD6152" w:rsidRPr="00640A47">
        <w:rPr>
          <w:rFonts w:cstheme="minorHAnsi"/>
          <w:sz w:val="24"/>
          <w:szCs w:val="24"/>
          <w:lang w:val="en-US"/>
        </w:rPr>
        <w:t>legitimadas</w:t>
      </w:r>
      <w:proofErr w:type="spellEnd"/>
      <w:r w:rsidR="00BD6152" w:rsidRPr="00640A47">
        <w:rPr>
          <w:rFonts w:cstheme="minorHAnsi"/>
          <w:sz w:val="24"/>
          <w:szCs w:val="24"/>
          <w:lang w:val="en-US"/>
        </w:rPr>
        <w:t xml:space="preserve">, la </w:t>
      </w:r>
      <w:proofErr w:type="spellStart"/>
      <w:r w:rsidR="00BD6152" w:rsidRPr="00640A47">
        <w:rPr>
          <w:rFonts w:cstheme="minorHAnsi"/>
          <w:sz w:val="24"/>
          <w:szCs w:val="24"/>
          <w:lang w:val="en-US"/>
        </w:rPr>
        <w:t>sección</w:t>
      </w:r>
      <w:proofErr w:type="spellEnd"/>
      <w:r w:rsidR="00BD6152" w:rsidRPr="00640A47">
        <w:rPr>
          <w:rFonts w:cstheme="minorHAnsi"/>
          <w:sz w:val="24"/>
          <w:szCs w:val="24"/>
          <w:lang w:val="en-US"/>
        </w:rPr>
        <w:t xml:space="preserve"> 1(1</w:t>
      </w:r>
      <w:proofErr w:type="gramStart"/>
      <w:r w:rsidR="00BD6152" w:rsidRPr="00640A47">
        <w:rPr>
          <w:rFonts w:cstheme="minorHAnsi"/>
          <w:sz w:val="24"/>
          <w:szCs w:val="24"/>
          <w:lang w:val="en-US"/>
        </w:rPr>
        <w:t>)(</w:t>
      </w:r>
      <w:proofErr w:type="gramEnd"/>
      <w:r w:rsidR="00BD6152" w:rsidRPr="00640A47">
        <w:rPr>
          <w:rFonts w:cstheme="minorHAnsi"/>
          <w:sz w:val="24"/>
          <w:szCs w:val="24"/>
          <w:lang w:val="en-US"/>
        </w:rPr>
        <w:t xml:space="preserve">d) </w:t>
      </w:r>
      <w:r w:rsidR="00241769" w:rsidRPr="00640A47">
        <w:rPr>
          <w:rFonts w:cstheme="minorHAnsi"/>
          <w:sz w:val="24"/>
          <w:szCs w:val="24"/>
          <w:lang w:val="en-US"/>
        </w:rPr>
        <w:t xml:space="preserve">de la </w:t>
      </w:r>
      <w:r w:rsidR="00241769" w:rsidRPr="00640A47">
        <w:rPr>
          <w:rFonts w:cstheme="minorHAnsi"/>
          <w:i/>
          <w:sz w:val="24"/>
          <w:szCs w:val="24"/>
          <w:lang w:val="en-US"/>
        </w:rPr>
        <w:t xml:space="preserve">Inheritance (Provision for Family and </w:t>
      </w:r>
      <w:proofErr w:type="spellStart"/>
      <w:r w:rsidR="00241769" w:rsidRPr="00640A47">
        <w:rPr>
          <w:rFonts w:cstheme="minorHAnsi"/>
          <w:i/>
          <w:sz w:val="24"/>
          <w:szCs w:val="24"/>
          <w:lang w:val="en-US"/>
        </w:rPr>
        <w:t>Dependants</w:t>
      </w:r>
      <w:proofErr w:type="spellEnd"/>
      <w:r w:rsidR="00241769" w:rsidRPr="00640A47">
        <w:rPr>
          <w:rFonts w:cstheme="minorHAnsi"/>
          <w:i/>
          <w:sz w:val="24"/>
          <w:szCs w:val="24"/>
          <w:lang w:val="en-US"/>
        </w:rPr>
        <w:t>) Act 1975</w:t>
      </w:r>
      <w:r w:rsidR="00241769" w:rsidRPr="00640A47">
        <w:rPr>
          <w:rFonts w:cstheme="minorHAnsi"/>
          <w:sz w:val="24"/>
          <w:szCs w:val="24"/>
          <w:lang w:val="en-US"/>
        </w:rPr>
        <w:t xml:space="preserve"> </w:t>
      </w:r>
      <w:proofErr w:type="spellStart"/>
      <w:r w:rsidR="00BD6152" w:rsidRPr="00640A47">
        <w:rPr>
          <w:rFonts w:cstheme="minorHAnsi"/>
          <w:sz w:val="24"/>
          <w:szCs w:val="24"/>
          <w:lang w:val="en-US"/>
        </w:rPr>
        <w:t>sitúa</w:t>
      </w:r>
      <w:proofErr w:type="spellEnd"/>
      <w:r w:rsidR="00BD6152" w:rsidRPr="00640A47">
        <w:rPr>
          <w:rFonts w:cstheme="minorHAnsi"/>
          <w:sz w:val="24"/>
          <w:szCs w:val="24"/>
          <w:lang w:val="en-US"/>
        </w:rPr>
        <w:t xml:space="preserve"> “any person (not being a child of the deceased) who in relation to any marriage or civil partnership to which the deceased was at any time a party, or otherwise in relation to any family in which the deceased at any time stood in the role of a parent, was treated by the deceased as a child of the family”. </w:t>
      </w:r>
      <w:r w:rsidR="00BD6152" w:rsidRPr="00640A47">
        <w:rPr>
          <w:rFonts w:cstheme="minorHAnsi"/>
          <w:sz w:val="24"/>
          <w:szCs w:val="24"/>
        </w:rPr>
        <w:t xml:space="preserve">Este </w:t>
      </w:r>
      <w:proofErr w:type="spellStart"/>
      <w:r w:rsidR="00BD6152" w:rsidRPr="00640A47">
        <w:rPr>
          <w:rFonts w:cstheme="minorHAnsi"/>
          <w:i/>
          <w:sz w:val="24"/>
          <w:szCs w:val="24"/>
        </w:rPr>
        <w:t>child</w:t>
      </w:r>
      <w:proofErr w:type="spellEnd"/>
      <w:r w:rsidR="00BD6152" w:rsidRPr="00640A47">
        <w:rPr>
          <w:rFonts w:cstheme="minorHAnsi"/>
          <w:i/>
          <w:sz w:val="24"/>
          <w:szCs w:val="24"/>
        </w:rPr>
        <w:t xml:space="preserve"> of </w:t>
      </w:r>
      <w:proofErr w:type="spellStart"/>
      <w:r w:rsidR="00BD6152" w:rsidRPr="00640A47">
        <w:rPr>
          <w:rFonts w:cstheme="minorHAnsi"/>
          <w:i/>
          <w:sz w:val="24"/>
          <w:szCs w:val="24"/>
        </w:rPr>
        <w:t>the</w:t>
      </w:r>
      <w:proofErr w:type="spellEnd"/>
      <w:r w:rsidR="00BD6152" w:rsidRPr="00640A47">
        <w:rPr>
          <w:rFonts w:cstheme="minorHAnsi"/>
          <w:i/>
          <w:sz w:val="24"/>
          <w:szCs w:val="24"/>
        </w:rPr>
        <w:t xml:space="preserve"> </w:t>
      </w:r>
      <w:proofErr w:type="spellStart"/>
      <w:r w:rsidR="00BD6152" w:rsidRPr="00640A47">
        <w:rPr>
          <w:rFonts w:cstheme="minorHAnsi"/>
          <w:i/>
          <w:sz w:val="24"/>
          <w:szCs w:val="24"/>
        </w:rPr>
        <w:t>family</w:t>
      </w:r>
      <w:proofErr w:type="spellEnd"/>
      <w:r w:rsidR="00BD6152" w:rsidRPr="00640A47">
        <w:rPr>
          <w:rFonts w:cstheme="minorHAnsi"/>
          <w:i/>
          <w:sz w:val="24"/>
          <w:szCs w:val="24"/>
        </w:rPr>
        <w:t xml:space="preserve"> </w:t>
      </w:r>
      <w:r w:rsidR="00BD6152" w:rsidRPr="00640A47">
        <w:rPr>
          <w:rFonts w:cstheme="minorHAnsi"/>
          <w:sz w:val="24"/>
          <w:szCs w:val="24"/>
        </w:rPr>
        <w:t>es, obviamente, un hijastro o hijastra, sin embargo no basta con esta condición. Lo que es esencial es haber sido tratado como un hijo de la familia</w:t>
      </w:r>
      <w:r w:rsidR="00BD6152" w:rsidRPr="00640A47">
        <w:rPr>
          <w:rStyle w:val="Refdenotaalpie"/>
          <w:rFonts w:cstheme="minorHAnsi"/>
          <w:sz w:val="24"/>
          <w:szCs w:val="24"/>
        </w:rPr>
        <w:footnoteReference w:id="19"/>
      </w:r>
      <w:r w:rsidR="00BD6152" w:rsidRPr="00640A47">
        <w:rPr>
          <w:rFonts w:cstheme="minorHAnsi"/>
          <w:sz w:val="24"/>
          <w:szCs w:val="24"/>
        </w:rPr>
        <w:t xml:space="preserve">. </w:t>
      </w:r>
      <w:r w:rsidR="0053385B" w:rsidRPr="00640A47">
        <w:rPr>
          <w:rFonts w:cstheme="minorHAnsi"/>
          <w:sz w:val="24"/>
          <w:szCs w:val="24"/>
        </w:rPr>
        <w:t xml:space="preserve">Para conceder la </w:t>
      </w:r>
      <w:proofErr w:type="spellStart"/>
      <w:r w:rsidR="0053385B" w:rsidRPr="00640A47">
        <w:rPr>
          <w:rFonts w:cstheme="minorHAnsi"/>
          <w:i/>
          <w:sz w:val="24"/>
          <w:szCs w:val="24"/>
        </w:rPr>
        <w:t>family</w:t>
      </w:r>
      <w:proofErr w:type="spellEnd"/>
      <w:r w:rsidR="0053385B" w:rsidRPr="00640A47">
        <w:rPr>
          <w:rFonts w:cstheme="minorHAnsi"/>
          <w:i/>
          <w:sz w:val="24"/>
          <w:szCs w:val="24"/>
        </w:rPr>
        <w:t xml:space="preserve"> </w:t>
      </w:r>
      <w:proofErr w:type="spellStart"/>
      <w:r w:rsidR="0053385B" w:rsidRPr="00640A47">
        <w:rPr>
          <w:rFonts w:cstheme="minorHAnsi"/>
          <w:i/>
          <w:sz w:val="24"/>
          <w:szCs w:val="24"/>
        </w:rPr>
        <w:t>provision</w:t>
      </w:r>
      <w:proofErr w:type="spellEnd"/>
      <w:r w:rsidR="0053385B" w:rsidRPr="00640A47">
        <w:rPr>
          <w:rFonts w:cstheme="minorHAnsi"/>
          <w:i/>
          <w:sz w:val="24"/>
          <w:szCs w:val="24"/>
        </w:rPr>
        <w:t xml:space="preserve">, </w:t>
      </w:r>
      <w:r w:rsidR="0053385B" w:rsidRPr="00640A47">
        <w:rPr>
          <w:rFonts w:cstheme="minorHAnsi"/>
          <w:color w:val="000000" w:themeColor="text1"/>
          <w:sz w:val="24"/>
          <w:szCs w:val="24"/>
        </w:rPr>
        <w:t xml:space="preserve">el Tribunal atenderá a si había una verdadera relación de afecto, amabilidad y hospitalidad entre el solicitante y su </w:t>
      </w:r>
      <w:r w:rsidR="0053385B" w:rsidRPr="00640A47">
        <w:rPr>
          <w:rFonts w:cstheme="minorHAnsi"/>
          <w:i/>
          <w:color w:val="000000" w:themeColor="text1"/>
          <w:sz w:val="24"/>
          <w:szCs w:val="24"/>
        </w:rPr>
        <w:t xml:space="preserve">civil </w:t>
      </w:r>
      <w:proofErr w:type="spellStart"/>
      <w:r w:rsidR="0053385B" w:rsidRPr="00640A47">
        <w:rPr>
          <w:rFonts w:cstheme="minorHAnsi"/>
          <w:i/>
          <w:color w:val="000000" w:themeColor="text1"/>
          <w:sz w:val="24"/>
          <w:szCs w:val="24"/>
        </w:rPr>
        <w:t>partner</w:t>
      </w:r>
      <w:proofErr w:type="spellEnd"/>
      <w:r w:rsidR="0053385B" w:rsidRPr="00640A47">
        <w:rPr>
          <w:rFonts w:cstheme="minorHAnsi"/>
          <w:color w:val="000000" w:themeColor="text1"/>
          <w:sz w:val="24"/>
          <w:szCs w:val="24"/>
        </w:rPr>
        <w:t xml:space="preserve"> y sobre todo observará si de forma expresa o implícita el causante asumió la posición de padre o madre con él y por ello atendió a sus responsabilidades y necesidades como cualquier otro progenitor lo habría </w:t>
      </w:r>
      <w:r w:rsidR="0053385B" w:rsidRPr="00640A47">
        <w:rPr>
          <w:rFonts w:cstheme="minorHAnsi"/>
          <w:sz w:val="24"/>
          <w:szCs w:val="24"/>
        </w:rPr>
        <w:t xml:space="preserve">hecho. Respecto de la responsabilidad, será oportuno demostrar que el causante mantuvo al solicitante y si es así, por cuanto tiempo lo mantuvo y en qué medida asumió la responsabilidad de ese mantenimiento. También que esta responsabilidad de mantenerle la asumió sabiendo que no era su propio hijo. Y por último observará si otro sujeto pudo mantener al solicitante en este tiempo o con posterioridad al fallecimiento del causante. La cuantía de la </w:t>
      </w:r>
      <w:proofErr w:type="spellStart"/>
      <w:r w:rsidR="0053385B" w:rsidRPr="00640A47">
        <w:rPr>
          <w:rFonts w:cstheme="minorHAnsi"/>
          <w:i/>
          <w:sz w:val="24"/>
          <w:szCs w:val="24"/>
        </w:rPr>
        <w:t>provision</w:t>
      </w:r>
      <w:proofErr w:type="spellEnd"/>
      <w:r w:rsidR="0053385B" w:rsidRPr="00640A47">
        <w:rPr>
          <w:rFonts w:cstheme="minorHAnsi"/>
          <w:i/>
          <w:sz w:val="24"/>
          <w:szCs w:val="24"/>
        </w:rPr>
        <w:t xml:space="preserve"> </w:t>
      </w:r>
      <w:r w:rsidR="0053385B" w:rsidRPr="00640A47">
        <w:rPr>
          <w:rFonts w:cstheme="minorHAnsi"/>
          <w:sz w:val="24"/>
          <w:szCs w:val="24"/>
        </w:rPr>
        <w:t xml:space="preserve">se modula conforme al tiempo que ha durado la </w:t>
      </w:r>
      <w:r w:rsidR="0053385B" w:rsidRPr="00640A47">
        <w:rPr>
          <w:rFonts w:cstheme="minorHAnsi"/>
          <w:sz w:val="24"/>
          <w:szCs w:val="24"/>
        </w:rPr>
        <w:lastRenderedPageBreak/>
        <w:t>convivencia, que no es necesario que se mantenga en el momento de la apertura de la sucesión del causante</w:t>
      </w:r>
      <w:r w:rsidR="0053385B" w:rsidRPr="00640A47">
        <w:rPr>
          <w:rStyle w:val="Refdenotaalpie"/>
          <w:rFonts w:cstheme="minorHAnsi"/>
          <w:sz w:val="24"/>
          <w:szCs w:val="24"/>
        </w:rPr>
        <w:footnoteReference w:id="20"/>
      </w:r>
      <w:r w:rsidR="0053385B" w:rsidRPr="00640A47">
        <w:rPr>
          <w:rFonts w:cstheme="minorHAnsi"/>
          <w:sz w:val="24"/>
          <w:szCs w:val="24"/>
        </w:rPr>
        <w:t>.</w:t>
      </w:r>
    </w:p>
    <w:p w:rsidR="00241769" w:rsidRPr="00640A47" w:rsidRDefault="00241769" w:rsidP="00640A47">
      <w:pPr>
        <w:spacing w:line="312" w:lineRule="auto"/>
        <w:jc w:val="both"/>
        <w:rPr>
          <w:rFonts w:cstheme="minorHAnsi"/>
          <w:color w:val="000000" w:themeColor="text1"/>
          <w:sz w:val="24"/>
          <w:szCs w:val="24"/>
        </w:rPr>
      </w:pPr>
      <w:r w:rsidRPr="00640A47">
        <w:rPr>
          <w:rFonts w:cstheme="minorHAnsi"/>
          <w:sz w:val="24"/>
          <w:szCs w:val="24"/>
        </w:rPr>
        <w:tab/>
      </w:r>
      <w:r w:rsidR="008F059C" w:rsidRPr="00640A47">
        <w:rPr>
          <w:rFonts w:cstheme="minorHAnsi"/>
          <w:sz w:val="24"/>
          <w:szCs w:val="24"/>
        </w:rPr>
        <w:t xml:space="preserve">El concepto legal de </w:t>
      </w:r>
      <w:proofErr w:type="spellStart"/>
      <w:r w:rsidR="008F059C" w:rsidRPr="00640A47">
        <w:rPr>
          <w:rFonts w:cstheme="minorHAnsi"/>
          <w:i/>
          <w:sz w:val="24"/>
          <w:szCs w:val="24"/>
        </w:rPr>
        <w:t>child</w:t>
      </w:r>
      <w:proofErr w:type="spellEnd"/>
      <w:r w:rsidR="008F059C" w:rsidRPr="00640A47">
        <w:rPr>
          <w:rFonts w:cstheme="minorHAnsi"/>
          <w:i/>
          <w:sz w:val="24"/>
          <w:szCs w:val="24"/>
        </w:rPr>
        <w:t xml:space="preserve"> of </w:t>
      </w:r>
      <w:proofErr w:type="spellStart"/>
      <w:r w:rsidR="008F059C" w:rsidRPr="00640A47">
        <w:rPr>
          <w:rFonts w:cstheme="minorHAnsi"/>
          <w:i/>
          <w:sz w:val="24"/>
          <w:szCs w:val="24"/>
        </w:rPr>
        <w:t>the</w:t>
      </w:r>
      <w:proofErr w:type="spellEnd"/>
      <w:r w:rsidR="008F059C" w:rsidRPr="00640A47">
        <w:rPr>
          <w:rFonts w:cstheme="minorHAnsi"/>
          <w:i/>
          <w:sz w:val="24"/>
          <w:szCs w:val="24"/>
        </w:rPr>
        <w:t xml:space="preserve"> </w:t>
      </w:r>
      <w:proofErr w:type="spellStart"/>
      <w:r w:rsidR="008F059C" w:rsidRPr="00640A47">
        <w:rPr>
          <w:rFonts w:cstheme="minorHAnsi"/>
          <w:i/>
          <w:sz w:val="24"/>
          <w:szCs w:val="24"/>
        </w:rPr>
        <w:t>family</w:t>
      </w:r>
      <w:proofErr w:type="spellEnd"/>
      <w:r w:rsidR="008F059C" w:rsidRPr="00640A47">
        <w:rPr>
          <w:rFonts w:cstheme="minorHAnsi"/>
          <w:i/>
          <w:sz w:val="24"/>
          <w:szCs w:val="24"/>
        </w:rPr>
        <w:t xml:space="preserve"> </w:t>
      </w:r>
      <w:r w:rsidR="008F059C" w:rsidRPr="00640A47">
        <w:rPr>
          <w:rFonts w:cstheme="minorHAnsi"/>
          <w:sz w:val="24"/>
          <w:szCs w:val="24"/>
        </w:rPr>
        <w:t xml:space="preserve">no excluye a los mayores de edad. Un </w:t>
      </w:r>
      <w:r w:rsidR="008F059C" w:rsidRPr="00640A47">
        <w:rPr>
          <w:rFonts w:cstheme="minorHAnsi"/>
          <w:color w:val="000000" w:themeColor="text1"/>
          <w:sz w:val="24"/>
          <w:szCs w:val="24"/>
        </w:rPr>
        <w:t xml:space="preserve">ejemplo de ello es el caso </w:t>
      </w:r>
      <w:r w:rsidR="008F059C" w:rsidRPr="00640A47">
        <w:rPr>
          <w:rFonts w:cstheme="minorHAnsi"/>
          <w:i/>
          <w:color w:val="000000" w:themeColor="text1"/>
          <w:sz w:val="24"/>
          <w:szCs w:val="24"/>
        </w:rPr>
        <w:t xml:space="preserve">In Re </w:t>
      </w:r>
      <w:proofErr w:type="spellStart"/>
      <w:r w:rsidR="008F059C" w:rsidRPr="00640A47">
        <w:rPr>
          <w:rFonts w:cstheme="minorHAnsi"/>
          <w:i/>
          <w:color w:val="000000" w:themeColor="text1"/>
          <w:sz w:val="24"/>
          <w:szCs w:val="24"/>
        </w:rPr>
        <w:t>Callaghan</w:t>
      </w:r>
      <w:proofErr w:type="spellEnd"/>
      <w:r w:rsidR="008F059C" w:rsidRPr="00640A47">
        <w:rPr>
          <w:rStyle w:val="Refdenotaalpie"/>
          <w:rFonts w:cstheme="minorHAnsi"/>
          <w:color w:val="000000" w:themeColor="text1"/>
          <w:sz w:val="24"/>
          <w:szCs w:val="24"/>
        </w:rPr>
        <w:footnoteReference w:id="21"/>
      </w:r>
      <w:r w:rsidR="008F059C" w:rsidRPr="00640A47">
        <w:rPr>
          <w:rFonts w:cstheme="minorHAnsi"/>
          <w:color w:val="000000" w:themeColor="text1"/>
          <w:sz w:val="24"/>
          <w:szCs w:val="24"/>
        </w:rPr>
        <w:t xml:space="preserve">. En este caso el solicitante de la </w:t>
      </w:r>
      <w:proofErr w:type="spellStart"/>
      <w:r w:rsidR="003A3D00" w:rsidRPr="00640A47">
        <w:rPr>
          <w:rFonts w:cstheme="minorHAnsi"/>
          <w:i/>
          <w:color w:val="000000" w:themeColor="text1"/>
          <w:sz w:val="24"/>
          <w:szCs w:val="24"/>
        </w:rPr>
        <w:t>family</w:t>
      </w:r>
      <w:proofErr w:type="spellEnd"/>
      <w:r w:rsidR="003A3D00" w:rsidRPr="00640A47">
        <w:rPr>
          <w:rFonts w:cstheme="minorHAnsi"/>
          <w:i/>
          <w:color w:val="000000" w:themeColor="text1"/>
          <w:sz w:val="24"/>
          <w:szCs w:val="24"/>
        </w:rPr>
        <w:t xml:space="preserve"> </w:t>
      </w:r>
      <w:proofErr w:type="spellStart"/>
      <w:r w:rsidR="008F059C" w:rsidRPr="00640A47">
        <w:rPr>
          <w:rFonts w:cstheme="minorHAnsi"/>
          <w:i/>
          <w:color w:val="000000" w:themeColor="text1"/>
          <w:sz w:val="24"/>
          <w:szCs w:val="24"/>
        </w:rPr>
        <w:t>provision</w:t>
      </w:r>
      <w:proofErr w:type="spellEnd"/>
      <w:r w:rsidR="008F059C" w:rsidRPr="00640A47">
        <w:rPr>
          <w:rFonts w:cstheme="minorHAnsi"/>
          <w:i/>
          <w:color w:val="000000" w:themeColor="text1"/>
          <w:sz w:val="24"/>
          <w:szCs w:val="24"/>
        </w:rPr>
        <w:t xml:space="preserve"> </w:t>
      </w:r>
      <w:r w:rsidR="008F059C" w:rsidRPr="00640A47">
        <w:rPr>
          <w:rFonts w:cstheme="minorHAnsi"/>
          <w:color w:val="000000" w:themeColor="text1"/>
          <w:sz w:val="24"/>
          <w:szCs w:val="24"/>
        </w:rPr>
        <w:t xml:space="preserve">tenía 35 años, vivía con su esposa, en su propia casa cuando su madre se casó, con el que sería el causante. El </w:t>
      </w:r>
      <w:r w:rsidR="003A3D00" w:rsidRPr="00640A47">
        <w:rPr>
          <w:rFonts w:cstheme="minorHAnsi"/>
          <w:color w:val="000000" w:themeColor="text1"/>
          <w:sz w:val="24"/>
          <w:szCs w:val="24"/>
        </w:rPr>
        <w:t>difunto</w:t>
      </w:r>
      <w:r w:rsidR="008F059C" w:rsidRPr="00640A47">
        <w:rPr>
          <w:rFonts w:cstheme="minorHAnsi"/>
          <w:color w:val="000000" w:themeColor="text1"/>
          <w:sz w:val="24"/>
          <w:szCs w:val="24"/>
        </w:rPr>
        <w:t xml:space="preserve"> trató al solicitante siempre como un hijo de la familia reconociendo su propio papel de abuelo con los hijos del solicitante, realizando confidencias sobre sus bienes y asuntos financieros con el solicitante y dependió de él cuando enfermó. El </w:t>
      </w:r>
      <w:r w:rsidR="003A3D00" w:rsidRPr="00640A47">
        <w:rPr>
          <w:rFonts w:cstheme="minorHAnsi"/>
          <w:color w:val="000000" w:themeColor="text1"/>
          <w:sz w:val="24"/>
          <w:szCs w:val="24"/>
        </w:rPr>
        <w:t>causante</w:t>
      </w:r>
      <w:r w:rsidR="008F059C" w:rsidRPr="00640A47">
        <w:rPr>
          <w:rFonts w:cstheme="minorHAnsi"/>
          <w:color w:val="000000" w:themeColor="text1"/>
          <w:sz w:val="24"/>
          <w:szCs w:val="24"/>
        </w:rPr>
        <w:t xml:space="preserve"> murió intestado y el Tribunal sostuvo que la falta de atribución por causa de muerte, de acuerdo con las reglas sucesorias, no constituía una provisión financiera razonable para el mantenimiento del solicitan</w:t>
      </w:r>
      <w:r w:rsidR="002A4D53" w:rsidRPr="00640A47">
        <w:rPr>
          <w:rFonts w:cstheme="minorHAnsi"/>
          <w:color w:val="000000" w:themeColor="text1"/>
          <w:sz w:val="24"/>
          <w:szCs w:val="24"/>
        </w:rPr>
        <w:t>te</w:t>
      </w:r>
      <w:r w:rsidR="008F059C" w:rsidRPr="00640A47">
        <w:rPr>
          <w:rFonts w:cstheme="minorHAnsi"/>
          <w:color w:val="000000" w:themeColor="text1"/>
          <w:sz w:val="24"/>
          <w:szCs w:val="24"/>
        </w:rPr>
        <w:t>, en especial porque los bienes del fallecido provenían de la madre del solicitante (la cual había muerto con anterioridad al fallecido)</w:t>
      </w:r>
      <w:r w:rsidR="002A4D53" w:rsidRPr="00640A47">
        <w:rPr>
          <w:rFonts w:cstheme="minorHAnsi"/>
          <w:color w:val="000000" w:themeColor="text1"/>
          <w:sz w:val="24"/>
          <w:szCs w:val="24"/>
        </w:rPr>
        <w:t>,</w:t>
      </w:r>
      <w:r w:rsidR="008F059C" w:rsidRPr="00640A47">
        <w:rPr>
          <w:rFonts w:cstheme="minorHAnsi"/>
          <w:color w:val="000000" w:themeColor="text1"/>
          <w:sz w:val="24"/>
          <w:szCs w:val="24"/>
        </w:rPr>
        <w:t xml:space="preserve"> qu</w:t>
      </w:r>
      <w:r w:rsidR="002A4D53" w:rsidRPr="00640A47">
        <w:rPr>
          <w:rFonts w:cstheme="minorHAnsi"/>
          <w:color w:val="000000" w:themeColor="text1"/>
          <w:sz w:val="24"/>
          <w:szCs w:val="24"/>
        </w:rPr>
        <w:t>ien,</w:t>
      </w:r>
      <w:r w:rsidR="008F059C" w:rsidRPr="00640A47">
        <w:rPr>
          <w:rFonts w:cstheme="minorHAnsi"/>
          <w:color w:val="000000" w:themeColor="text1"/>
          <w:sz w:val="24"/>
          <w:szCs w:val="24"/>
        </w:rPr>
        <w:t xml:space="preserve"> a su vez, los había obtenido a modo de obsequio del abuelo paterno del joven cuando el marido de la mujer y padre biológico del solicitante había muerto en servicio activo. Bien es cierto que el tratamiento de una persona como hijo de la familia es algo más que un comportamiento del causante hacia esa persona. La mera exhibición de afecto, amabilidad u hospitalidad por un padrastro o madrastra hacia un hijastro o hijastra no constituye por sí mismo el trato de hijo de la familia. El fallecido debe asumir, de manera expresa o implícita la posición de padre o madre respecto del solicitante, con las responsabilidades correspondientes, además de ese trato cordial y afable, lo que si bien excluye reclamaciones oportunistas a buenos samaritanos, reduce notablemente el número de posibles solicitantes</w:t>
      </w:r>
      <w:r w:rsidR="008F059C" w:rsidRPr="00640A47">
        <w:rPr>
          <w:rStyle w:val="Refdenotaalpie"/>
          <w:rFonts w:cstheme="minorHAnsi"/>
          <w:color w:val="000000" w:themeColor="text1"/>
          <w:sz w:val="24"/>
          <w:szCs w:val="24"/>
        </w:rPr>
        <w:footnoteReference w:id="22"/>
      </w:r>
      <w:r w:rsidR="008F059C" w:rsidRPr="00640A47">
        <w:rPr>
          <w:rFonts w:cstheme="minorHAnsi"/>
          <w:color w:val="000000" w:themeColor="text1"/>
          <w:sz w:val="24"/>
          <w:szCs w:val="24"/>
        </w:rPr>
        <w:t>.</w:t>
      </w:r>
    </w:p>
    <w:p w:rsidR="00EF7BDE" w:rsidRPr="00640A47" w:rsidRDefault="00EF7BDE"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 xml:space="preserve">En Australia, los diferentes estados </w:t>
      </w:r>
      <w:r w:rsidR="002F1951" w:rsidRPr="00640A47">
        <w:rPr>
          <w:rFonts w:cstheme="minorHAnsi"/>
          <w:color w:val="000000" w:themeColor="text1"/>
          <w:sz w:val="24"/>
          <w:szCs w:val="24"/>
        </w:rPr>
        <w:t xml:space="preserve">han reconocido en los últimos años a los hijastros e hijastras como legitimados para reclamar una </w:t>
      </w:r>
      <w:proofErr w:type="spellStart"/>
      <w:r w:rsidR="002F1951" w:rsidRPr="00640A47">
        <w:rPr>
          <w:rFonts w:cstheme="minorHAnsi"/>
          <w:i/>
          <w:color w:val="000000" w:themeColor="text1"/>
          <w:sz w:val="24"/>
          <w:szCs w:val="24"/>
        </w:rPr>
        <w:t>family</w:t>
      </w:r>
      <w:proofErr w:type="spellEnd"/>
      <w:r w:rsidR="002F1951" w:rsidRPr="00640A47">
        <w:rPr>
          <w:rFonts w:cstheme="minorHAnsi"/>
          <w:i/>
          <w:color w:val="000000" w:themeColor="text1"/>
          <w:sz w:val="24"/>
          <w:szCs w:val="24"/>
        </w:rPr>
        <w:t xml:space="preserve"> </w:t>
      </w:r>
      <w:proofErr w:type="spellStart"/>
      <w:r w:rsidR="002F1951" w:rsidRPr="00640A47">
        <w:rPr>
          <w:rFonts w:cstheme="minorHAnsi"/>
          <w:i/>
          <w:color w:val="000000" w:themeColor="text1"/>
          <w:sz w:val="24"/>
          <w:szCs w:val="24"/>
        </w:rPr>
        <w:t>provision</w:t>
      </w:r>
      <w:proofErr w:type="spellEnd"/>
      <w:r w:rsidR="002F1951" w:rsidRPr="00640A47">
        <w:rPr>
          <w:rFonts w:cstheme="minorHAnsi"/>
          <w:color w:val="000000" w:themeColor="text1"/>
          <w:sz w:val="24"/>
          <w:szCs w:val="24"/>
        </w:rPr>
        <w:t>, aunque con pequeñas variantes. En Queensland se prevé expresamente que el matrimonio entre el progenitor y el padrastro o madrastra debe perdurar en el momento del fallecimiento del causante. En general, los factores que se toman en consideración son la edad en la que se inició la relaci</w:t>
      </w:r>
      <w:r w:rsidR="00973EF9" w:rsidRPr="00640A47">
        <w:rPr>
          <w:rFonts w:cstheme="minorHAnsi"/>
          <w:color w:val="000000" w:themeColor="text1"/>
          <w:sz w:val="24"/>
          <w:szCs w:val="24"/>
        </w:rPr>
        <w:t>ón y</w:t>
      </w:r>
      <w:r w:rsidR="002F1951" w:rsidRPr="00640A47">
        <w:rPr>
          <w:rFonts w:cstheme="minorHAnsi"/>
          <w:color w:val="000000" w:themeColor="text1"/>
          <w:sz w:val="24"/>
          <w:szCs w:val="24"/>
        </w:rPr>
        <w:t xml:space="preserve"> en qué medida el padrastro o madrastra han contri</w:t>
      </w:r>
      <w:r w:rsidR="00973EF9" w:rsidRPr="00640A47">
        <w:rPr>
          <w:rFonts w:cstheme="minorHAnsi"/>
          <w:color w:val="000000" w:themeColor="text1"/>
          <w:sz w:val="24"/>
          <w:szCs w:val="24"/>
        </w:rPr>
        <w:t xml:space="preserve">buido a la manutención del hijastro o hijastra. En Nueva Gales del Sur es un factor la proximidad en la relación entre el padrastro o madrastra y el hijo del cónyuge o conviviente, </w:t>
      </w:r>
      <w:r w:rsidR="00973EF9" w:rsidRPr="00640A47">
        <w:rPr>
          <w:rFonts w:cstheme="minorHAnsi"/>
          <w:color w:val="000000" w:themeColor="text1"/>
          <w:sz w:val="24"/>
          <w:szCs w:val="24"/>
        </w:rPr>
        <w:lastRenderedPageBreak/>
        <w:t xml:space="preserve">mientras que en Victoria tiene relevancia si el origen de los bienes del difunto está en el progenitor del reclamante. En cualquier caso, si el tribunal considera que concurren los requisitos para conceder la </w:t>
      </w:r>
      <w:proofErr w:type="spellStart"/>
      <w:r w:rsidR="00973EF9" w:rsidRPr="00640A47">
        <w:rPr>
          <w:rFonts w:cstheme="minorHAnsi"/>
          <w:i/>
          <w:color w:val="000000" w:themeColor="text1"/>
          <w:sz w:val="24"/>
          <w:szCs w:val="24"/>
        </w:rPr>
        <w:t>family</w:t>
      </w:r>
      <w:proofErr w:type="spellEnd"/>
      <w:r w:rsidR="00973EF9" w:rsidRPr="00640A47">
        <w:rPr>
          <w:rFonts w:cstheme="minorHAnsi"/>
          <w:i/>
          <w:color w:val="000000" w:themeColor="text1"/>
          <w:sz w:val="24"/>
          <w:szCs w:val="24"/>
        </w:rPr>
        <w:t xml:space="preserve"> </w:t>
      </w:r>
      <w:proofErr w:type="spellStart"/>
      <w:r w:rsidR="00973EF9" w:rsidRPr="00640A47">
        <w:rPr>
          <w:rFonts w:cstheme="minorHAnsi"/>
          <w:i/>
          <w:color w:val="000000" w:themeColor="text1"/>
          <w:sz w:val="24"/>
          <w:szCs w:val="24"/>
        </w:rPr>
        <w:t>provision</w:t>
      </w:r>
      <w:proofErr w:type="spellEnd"/>
      <w:r w:rsidR="00973EF9" w:rsidRPr="00640A47">
        <w:rPr>
          <w:rFonts w:cstheme="minorHAnsi"/>
          <w:color w:val="000000" w:themeColor="text1"/>
          <w:sz w:val="24"/>
          <w:szCs w:val="24"/>
        </w:rPr>
        <w:t>, el hijastro o hijastra no reci</w:t>
      </w:r>
      <w:r w:rsidR="003A3D00" w:rsidRPr="00640A47">
        <w:rPr>
          <w:rFonts w:cstheme="minorHAnsi"/>
          <w:color w:val="000000" w:themeColor="text1"/>
          <w:sz w:val="24"/>
          <w:szCs w:val="24"/>
        </w:rPr>
        <w:t>birá</w:t>
      </w:r>
      <w:r w:rsidR="00973EF9" w:rsidRPr="00640A47">
        <w:rPr>
          <w:rFonts w:cstheme="minorHAnsi"/>
          <w:color w:val="000000" w:themeColor="text1"/>
          <w:sz w:val="24"/>
          <w:szCs w:val="24"/>
        </w:rPr>
        <w:t xml:space="preserve"> menos que un hijo natural o adoptivo, salvo que las circunstancias del caso conduzcan a considerar más apropiada otra situación</w:t>
      </w:r>
      <w:r w:rsidR="00973EF9" w:rsidRPr="00640A47">
        <w:rPr>
          <w:rStyle w:val="Refdenotaalpie"/>
          <w:rFonts w:cstheme="minorHAnsi"/>
          <w:color w:val="000000" w:themeColor="text1"/>
          <w:sz w:val="24"/>
          <w:szCs w:val="24"/>
        </w:rPr>
        <w:footnoteReference w:id="23"/>
      </w:r>
      <w:r w:rsidR="00973EF9" w:rsidRPr="00640A47">
        <w:rPr>
          <w:rFonts w:cstheme="minorHAnsi"/>
          <w:color w:val="000000" w:themeColor="text1"/>
          <w:sz w:val="24"/>
          <w:szCs w:val="24"/>
        </w:rPr>
        <w:t>.</w:t>
      </w:r>
    </w:p>
    <w:p w:rsidR="00E7193B" w:rsidRPr="00640A47" w:rsidRDefault="00E7193B"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 xml:space="preserve">Por último, en Nueva Zelanda se define legalmente al hijastro o hijastra </w:t>
      </w:r>
      <w:r w:rsidR="00E52FBD" w:rsidRPr="00640A47">
        <w:rPr>
          <w:rFonts w:cstheme="minorHAnsi"/>
          <w:color w:val="000000" w:themeColor="text1"/>
          <w:sz w:val="24"/>
          <w:szCs w:val="24"/>
        </w:rPr>
        <w:t xml:space="preserve">como el hijo del cónyuge, del conviviente en unión civil o del conviviente </w:t>
      </w:r>
      <w:r w:rsidR="00E52FBD" w:rsidRPr="00640A47">
        <w:rPr>
          <w:rFonts w:cstheme="minorHAnsi"/>
          <w:i/>
          <w:color w:val="000000" w:themeColor="text1"/>
          <w:sz w:val="24"/>
          <w:szCs w:val="24"/>
        </w:rPr>
        <w:t xml:space="preserve">de facto </w:t>
      </w:r>
      <w:r w:rsidR="00E52FBD" w:rsidRPr="00640A47">
        <w:rPr>
          <w:rFonts w:cstheme="minorHAnsi"/>
          <w:color w:val="000000" w:themeColor="text1"/>
          <w:sz w:val="24"/>
          <w:szCs w:val="24"/>
        </w:rPr>
        <w:t>del causante y que estuviera vivo al tiempo de iniciar la relación el causante y el progenitor (sección 2.1 “</w:t>
      </w:r>
      <w:proofErr w:type="spellStart"/>
      <w:r w:rsidR="00E52FBD" w:rsidRPr="00640A47">
        <w:rPr>
          <w:rFonts w:cstheme="minorHAnsi"/>
          <w:color w:val="000000" w:themeColor="text1"/>
          <w:sz w:val="24"/>
          <w:szCs w:val="24"/>
        </w:rPr>
        <w:t>stepchildren</w:t>
      </w:r>
      <w:proofErr w:type="spellEnd"/>
      <w:r w:rsidR="00E52FBD" w:rsidRPr="00640A47">
        <w:rPr>
          <w:rFonts w:cstheme="minorHAnsi"/>
          <w:color w:val="000000" w:themeColor="text1"/>
          <w:sz w:val="24"/>
          <w:szCs w:val="24"/>
        </w:rPr>
        <w:t xml:space="preserve">” de la </w:t>
      </w:r>
      <w:proofErr w:type="spellStart"/>
      <w:r w:rsidR="00E52FBD" w:rsidRPr="00640A47">
        <w:rPr>
          <w:rFonts w:cstheme="minorHAnsi"/>
          <w:i/>
          <w:color w:val="000000" w:themeColor="text1"/>
          <w:sz w:val="24"/>
          <w:szCs w:val="24"/>
        </w:rPr>
        <w:t>Family</w:t>
      </w:r>
      <w:proofErr w:type="spellEnd"/>
      <w:r w:rsidR="00E52FBD" w:rsidRPr="00640A47">
        <w:rPr>
          <w:rFonts w:cstheme="minorHAnsi"/>
          <w:i/>
          <w:color w:val="000000" w:themeColor="text1"/>
          <w:sz w:val="24"/>
          <w:szCs w:val="24"/>
        </w:rPr>
        <w:t xml:space="preserve"> </w:t>
      </w:r>
      <w:proofErr w:type="spellStart"/>
      <w:r w:rsidR="00E52FBD" w:rsidRPr="00640A47">
        <w:rPr>
          <w:rFonts w:cstheme="minorHAnsi"/>
          <w:i/>
          <w:color w:val="000000" w:themeColor="text1"/>
          <w:sz w:val="24"/>
          <w:szCs w:val="24"/>
        </w:rPr>
        <w:t>Protection</w:t>
      </w:r>
      <w:proofErr w:type="spellEnd"/>
      <w:r w:rsidR="00E52FBD" w:rsidRPr="00640A47">
        <w:rPr>
          <w:rFonts w:cstheme="minorHAnsi"/>
          <w:i/>
          <w:color w:val="000000" w:themeColor="text1"/>
          <w:sz w:val="24"/>
          <w:szCs w:val="24"/>
        </w:rPr>
        <w:t xml:space="preserve"> </w:t>
      </w:r>
      <w:proofErr w:type="spellStart"/>
      <w:r w:rsidR="00E52FBD" w:rsidRPr="00640A47">
        <w:rPr>
          <w:rFonts w:cstheme="minorHAnsi"/>
          <w:i/>
          <w:color w:val="000000" w:themeColor="text1"/>
          <w:sz w:val="24"/>
          <w:szCs w:val="24"/>
        </w:rPr>
        <w:t>Act</w:t>
      </w:r>
      <w:proofErr w:type="spellEnd"/>
      <w:r w:rsidR="00E52FBD" w:rsidRPr="00640A47">
        <w:rPr>
          <w:rFonts w:cstheme="minorHAnsi"/>
          <w:i/>
          <w:color w:val="000000" w:themeColor="text1"/>
          <w:sz w:val="24"/>
          <w:szCs w:val="24"/>
        </w:rPr>
        <w:t xml:space="preserve"> 1955</w:t>
      </w:r>
      <w:r w:rsidR="003A3D00" w:rsidRPr="00640A47">
        <w:rPr>
          <w:rFonts w:cstheme="minorHAnsi"/>
          <w:color w:val="000000" w:themeColor="text1"/>
          <w:sz w:val="24"/>
          <w:szCs w:val="24"/>
        </w:rPr>
        <w:t>)</w:t>
      </w:r>
      <w:r w:rsidR="00E52FBD" w:rsidRPr="00640A47">
        <w:rPr>
          <w:rFonts w:cstheme="minorHAnsi"/>
          <w:color w:val="000000" w:themeColor="text1"/>
          <w:sz w:val="24"/>
          <w:szCs w:val="24"/>
        </w:rPr>
        <w:t>. Se requiere que el reclamante estuviera mantenido por el causante en el momento del fallecimiento de este, lo que reduce significativamente el número de posibles legitimados por más que no excluya de por sí a los mayores de edad. Asimismo, que la convivencia o la relación de tipo familiar no haya sido esporádica, sino estable</w:t>
      </w:r>
      <w:r w:rsidR="002E531C" w:rsidRPr="00640A47">
        <w:rPr>
          <w:rFonts w:cstheme="minorHAnsi"/>
          <w:color w:val="000000" w:themeColor="text1"/>
          <w:sz w:val="24"/>
          <w:szCs w:val="24"/>
        </w:rPr>
        <w:t xml:space="preserve">, con afecto. Si bien la legitimación para el reconocimiento se restringe con estos criterios, si el tribunal considera que debe otorgarse la </w:t>
      </w:r>
      <w:proofErr w:type="spellStart"/>
      <w:r w:rsidR="002E531C" w:rsidRPr="00640A47">
        <w:rPr>
          <w:rFonts w:cstheme="minorHAnsi"/>
          <w:i/>
          <w:color w:val="000000" w:themeColor="text1"/>
          <w:sz w:val="24"/>
          <w:szCs w:val="24"/>
        </w:rPr>
        <w:t>provision</w:t>
      </w:r>
      <w:proofErr w:type="spellEnd"/>
      <w:r w:rsidR="002E531C" w:rsidRPr="00640A47">
        <w:rPr>
          <w:rFonts w:cstheme="minorHAnsi"/>
          <w:i/>
          <w:color w:val="000000" w:themeColor="text1"/>
          <w:sz w:val="24"/>
          <w:szCs w:val="24"/>
        </w:rPr>
        <w:t xml:space="preserve">, </w:t>
      </w:r>
      <w:r w:rsidR="002E531C" w:rsidRPr="00640A47">
        <w:rPr>
          <w:rFonts w:cstheme="minorHAnsi"/>
          <w:color w:val="000000" w:themeColor="text1"/>
          <w:sz w:val="24"/>
          <w:szCs w:val="24"/>
        </w:rPr>
        <w:t>salvo circunstancias especiales la cuantía que se otorga es la misma que a un hijo natural</w:t>
      </w:r>
      <w:r w:rsidR="002E531C" w:rsidRPr="00640A47">
        <w:rPr>
          <w:rStyle w:val="Refdenotaalpie"/>
          <w:rFonts w:cstheme="minorHAnsi"/>
          <w:color w:val="000000" w:themeColor="text1"/>
          <w:sz w:val="24"/>
          <w:szCs w:val="24"/>
        </w:rPr>
        <w:footnoteReference w:id="24"/>
      </w:r>
      <w:r w:rsidR="002E531C" w:rsidRPr="00640A47">
        <w:rPr>
          <w:rFonts w:cstheme="minorHAnsi"/>
          <w:color w:val="000000" w:themeColor="text1"/>
          <w:sz w:val="24"/>
          <w:szCs w:val="24"/>
        </w:rPr>
        <w:t>.</w:t>
      </w:r>
    </w:p>
    <w:p w:rsidR="00E86A44" w:rsidRPr="00F72D1E" w:rsidRDefault="00511B10" w:rsidP="00640A47">
      <w:pPr>
        <w:spacing w:line="312" w:lineRule="auto"/>
        <w:jc w:val="both"/>
        <w:rPr>
          <w:rFonts w:cstheme="minorHAnsi"/>
          <w:b/>
          <w:i/>
          <w:color w:val="000000" w:themeColor="text1"/>
          <w:sz w:val="24"/>
          <w:szCs w:val="24"/>
        </w:rPr>
      </w:pPr>
      <w:r w:rsidRPr="00F72D1E">
        <w:rPr>
          <w:rFonts w:cstheme="minorHAnsi"/>
          <w:b/>
          <w:i/>
          <w:color w:val="000000" w:themeColor="text1"/>
          <w:sz w:val="24"/>
          <w:szCs w:val="24"/>
        </w:rPr>
        <w:t>3.</w:t>
      </w:r>
      <w:r w:rsidR="00E86A44" w:rsidRPr="00F72D1E">
        <w:rPr>
          <w:rFonts w:cstheme="minorHAnsi"/>
          <w:b/>
          <w:i/>
          <w:color w:val="000000" w:themeColor="text1"/>
          <w:sz w:val="24"/>
          <w:szCs w:val="24"/>
        </w:rPr>
        <w:t xml:space="preserve">2. El hijastro o hijastra en la sucesión intestada en </w:t>
      </w:r>
      <w:r w:rsidR="0044586E" w:rsidRPr="00F72D1E">
        <w:rPr>
          <w:rFonts w:cstheme="minorHAnsi"/>
          <w:b/>
          <w:i/>
          <w:color w:val="000000" w:themeColor="text1"/>
          <w:sz w:val="24"/>
          <w:szCs w:val="24"/>
        </w:rPr>
        <w:t>los Estados Unidos, con especial referencia al derecho de California</w:t>
      </w:r>
    </w:p>
    <w:p w:rsidR="0044586E" w:rsidRPr="00640A47" w:rsidRDefault="0044586E"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 xml:space="preserve">En </w:t>
      </w:r>
      <w:r w:rsidR="004F2A53" w:rsidRPr="00640A47">
        <w:rPr>
          <w:rFonts w:cstheme="minorHAnsi"/>
          <w:color w:val="000000" w:themeColor="text1"/>
          <w:sz w:val="24"/>
          <w:szCs w:val="24"/>
        </w:rPr>
        <w:t xml:space="preserve">los </w:t>
      </w:r>
      <w:r w:rsidRPr="00640A47">
        <w:rPr>
          <w:rFonts w:cstheme="minorHAnsi"/>
          <w:color w:val="000000" w:themeColor="text1"/>
          <w:sz w:val="24"/>
          <w:szCs w:val="24"/>
        </w:rPr>
        <w:t xml:space="preserve">Estados Unidos, donde no hay legítima ni tampoco </w:t>
      </w:r>
      <w:proofErr w:type="spellStart"/>
      <w:r w:rsidRPr="00640A47">
        <w:rPr>
          <w:rFonts w:cstheme="minorHAnsi"/>
          <w:i/>
          <w:color w:val="000000" w:themeColor="text1"/>
          <w:sz w:val="24"/>
          <w:szCs w:val="24"/>
        </w:rPr>
        <w:t>family</w:t>
      </w:r>
      <w:proofErr w:type="spellEnd"/>
      <w:r w:rsidRPr="00640A47">
        <w:rPr>
          <w:rFonts w:cstheme="minorHAnsi"/>
          <w:i/>
          <w:color w:val="000000" w:themeColor="text1"/>
          <w:sz w:val="24"/>
          <w:szCs w:val="24"/>
        </w:rPr>
        <w:t xml:space="preserve"> </w:t>
      </w:r>
      <w:proofErr w:type="spellStart"/>
      <w:r w:rsidRPr="00640A47">
        <w:rPr>
          <w:rFonts w:cstheme="minorHAnsi"/>
          <w:i/>
          <w:color w:val="000000" w:themeColor="text1"/>
          <w:sz w:val="24"/>
          <w:szCs w:val="24"/>
        </w:rPr>
        <w:t>provision</w:t>
      </w:r>
      <w:proofErr w:type="spellEnd"/>
      <w:r w:rsidRPr="00640A47">
        <w:rPr>
          <w:rFonts w:cstheme="minorHAnsi"/>
          <w:color w:val="000000" w:themeColor="text1"/>
          <w:sz w:val="24"/>
          <w:szCs w:val="24"/>
        </w:rPr>
        <w:t xml:space="preserve">, los hijos del cónyuge aparecen en la sucesión intestada, y lo hacen, salvo en California, en términos muy restrictivos.  Los comentarios oficiales al </w:t>
      </w:r>
      <w:proofErr w:type="spellStart"/>
      <w:r w:rsidRPr="00640A47">
        <w:rPr>
          <w:rFonts w:cstheme="minorHAnsi"/>
          <w:i/>
          <w:color w:val="000000" w:themeColor="text1"/>
          <w:sz w:val="24"/>
          <w:szCs w:val="24"/>
        </w:rPr>
        <w:t>Uniform</w:t>
      </w:r>
      <w:proofErr w:type="spellEnd"/>
      <w:r w:rsidRPr="00640A47">
        <w:rPr>
          <w:rFonts w:cstheme="minorHAnsi"/>
          <w:i/>
          <w:color w:val="000000" w:themeColor="text1"/>
          <w:sz w:val="24"/>
          <w:szCs w:val="24"/>
        </w:rPr>
        <w:t xml:space="preserve"> </w:t>
      </w:r>
      <w:proofErr w:type="spellStart"/>
      <w:r w:rsidRPr="00640A47">
        <w:rPr>
          <w:rFonts w:cstheme="minorHAnsi"/>
          <w:i/>
          <w:color w:val="000000" w:themeColor="text1"/>
          <w:sz w:val="24"/>
          <w:szCs w:val="24"/>
        </w:rPr>
        <w:t>Probate</w:t>
      </w:r>
      <w:proofErr w:type="spellEnd"/>
      <w:r w:rsidRPr="00640A47">
        <w:rPr>
          <w:rFonts w:cstheme="minorHAnsi"/>
          <w:i/>
          <w:color w:val="000000" w:themeColor="text1"/>
          <w:sz w:val="24"/>
          <w:szCs w:val="24"/>
        </w:rPr>
        <w:t xml:space="preserve"> </w:t>
      </w:r>
      <w:proofErr w:type="spellStart"/>
      <w:r w:rsidRPr="00640A47">
        <w:rPr>
          <w:rFonts w:cstheme="minorHAnsi"/>
          <w:i/>
          <w:color w:val="000000" w:themeColor="text1"/>
          <w:sz w:val="24"/>
          <w:szCs w:val="24"/>
        </w:rPr>
        <w:t>Code</w:t>
      </w:r>
      <w:proofErr w:type="spellEnd"/>
      <w:r w:rsidRPr="00640A47">
        <w:rPr>
          <w:rFonts w:cstheme="minorHAnsi"/>
          <w:i/>
          <w:color w:val="000000" w:themeColor="text1"/>
          <w:sz w:val="24"/>
          <w:szCs w:val="24"/>
        </w:rPr>
        <w:t xml:space="preserve"> </w:t>
      </w:r>
      <w:r w:rsidRPr="00640A47">
        <w:rPr>
          <w:rFonts w:cstheme="minorHAnsi"/>
          <w:color w:val="000000" w:themeColor="text1"/>
          <w:sz w:val="24"/>
          <w:szCs w:val="24"/>
        </w:rPr>
        <w:t>dejan meridianamente claro que el concepto de “hijo” a los efectos de la sucesión intestada solo incluyen a los hijos por naturaleza y los adoptivos, y expresamente “</w:t>
      </w:r>
      <w:proofErr w:type="spellStart"/>
      <w:r w:rsidRPr="00640A47">
        <w:rPr>
          <w:rFonts w:cstheme="minorHAnsi"/>
          <w:color w:val="000000" w:themeColor="text1"/>
          <w:sz w:val="24"/>
          <w:szCs w:val="24"/>
        </w:rPr>
        <w:t>excludes</w:t>
      </w:r>
      <w:proofErr w:type="spellEnd"/>
      <w:r w:rsidRPr="00640A47">
        <w:rPr>
          <w:rFonts w:cstheme="minorHAnsi"/>
          <w:color w:val="000000" w:themeColor="text1"/>
          <w:sz w:val="24"/>
          <w:szCs w:val="24"/>
        </w:rPr>
        <w:t xml:space="preserve"> a </w:t>
      </w:r>
      <w:proofErr w:type="spellStart"/>
      <w:r w:rsidRPr="00640A47">
        <w:rPr>
          <w:rFonts w:cstheme="minorHAnsi"/>
          <w:color w:val="000000" w:themeColor="text1"/>
          <w:sz w:val="24"/>
          <w:szCs w:val="24"/>
        </w:rPr>
        <w:t>person</w:t>
      </w:r>
      <w:proofErr w:type="spellEnd"/>
      <w:r w:rsidRPr="00640A47">
        <w:rPr>
          <w:rFonts w:cstheme="minorHAnsi"/>
          <w:color w:val="000000" w:themeColor="text1"/>
          <w:sz w:val="24"/>
          <w:szCs w:val="24"/>
        </w:rPr>
        <w:t xml:space="preserve"> </w:t>
      </w:r>
      <w:proofErr w:type="spellStart"/>
      <w:r w:rsidRPr="00640A47">
        <w:rPr>
          <w:rFonts w:cstheme="minorHAnsi"/>
          <w:color w:val="000000" w:themeColor="text1"/>
          <w:sz w:val="24"/>
          <w:szCs w:val="24"/>
        </w:rPr>
        <w:t>who</w:t>
      </w:r>
      <w:proofErr w:type="spellEnd"/>
      <w:r w:rsidRPr="00640A47">
        <w:rPr>
          <w:rFonts w:cstheme="minorHAnsi"/>
          <w:color w:val="000000" w:themeColor="text1"/>
          <w:sz w:val="24"/>
          <w:szCs w:val="24"/>
        </w:rPr>
        <w:t xml:space="preserve"> </w:t>
      </w:r>
      <w:proofErr w:type="spellStart"/>
      <w:r w:rsidRPr="00640A47">
        <w:rPr>
          <w:rFonts w:cstheme="minorHAnsi"/>
          <w:color w:val="000000" w:themeColor="text1"/>
          <w:sz w:val="24"/>
          <w:szCs w:val="24"/>
        </w:rPr>
        <w:t>is</w:t>
      </w:r>
      <w:proofErr w:type="spellEnd"/>
      <w:r w:rsidRPr="00640A47">
        <w:rPr>
          <w:rFonts w:cstheme="minorHAnsi"/>
          <w:color w:val="000000" w:themeColor="text1"/>
          <w:sz w:val="24"/>
          <w:szCs w:val="24"/>
        </w:rPr>
        <w:t xml:space="preserve"> </w:t>
      </w:r>
      <w:proofErr w:type="spellStart"/>
      <w:r w:rsidRPr="00640A47">
        <w:rPr>
          <w:rFonts w:cstheme="minorHAnsi"/>
          <w:color w:val="000000" w:themeColor="text1"/>
          <w:sz w:val="24"/>
          <w:szCs w:val="24"/>
        </w:rPr>
        <w:t>only</w:t>
      </w:r>
      <w:proofErr w:type="spellEnd"/>
      <w:r w:rsidRPr="00640A47">
        <w:rPr>
          <w:rFonts w:cstheme="minorHAnsi"/>
          <w:color w:val="000000" w:themeColor="text1"/>
          <w:sz w:val="24"/>
          <w:szCs w:val="24"/>
        </w:rPr>
        <w:t xml:space="preserve"> a </w:t>
      </w:r>
      <w:proofErr w:type="spellStart"/>
      <w:r w:rsidRPr="00640A47">
        <w:rPr>
          <w:rFonts w:cstheme="minorHAnsi"/>
          <w:color w:val="000000" w:themeColor="text1"/>
          <w:sz w:val="24"/>
          <w:szCs w:val="24"/>
        </w:rPr>
        <w:t>stepchild</w:t>
      </w:r>
      <w:proofErr w:type="spellEnd"/>
      <w:r w:rsidRPr="00640A47">
        <w:rPr>
          <w:rFonts w:cstheme="minorHAnsi"/>
          <w:color w:val="000000" w:themeColor="text1"/>
          <w:sz w:val="24"/>
          <w:szCs w:val="24"/>
        </w:rPr>
        <w:t>”. Su presencia en los órdenes de la sucesión es meramente residual: sólo son llamados en defecto de cónyuge</w:t>
      </w:r>
      <w:r w:rsidR="00211A8E" w:rsidRPr="00640A47">
        <w:rPr>
          <w:rFonts w:cstheme="minorHAnsi"/>
          <w:color w:val="000000" w:themeColor="text1"/>
          <w:sz w:val="24"/>
          <w:szCs w:val="24"/>
        </w:rPr>
        <w:t xml:space="preserve"> y parientes</w:t>
      </w:r>
      <w:r w:rsidRPr="00640A47">
        <w:rPr>
          <w:rFonts w:cstheme="minorHAnsi"/>
          <w:color w:val="000000" w:themeColor="text1"/>
          <w:sz w:val="24"/>
          <w:szCs w:val="24"/>
        </w:rPr>
        <w:t xml:space="preserve"> y antes de que la herencia se defiera al Estado</w:t>
      </w:r>
      <w:r w:rsidRPr="00640A47">
        <w:rPr>
          <w:rStyle w:val="Refdenotaalpie"/>
          <w:rFonts w:cstheme="minorHAnsi"/>
          <w:color w:val="000000" w:themeColor="text1"/>
          <w:sz w:val="24"/>
          <w:szCs w:val="24"/>
        </w:rPr>
        <w:footnoteReference w:id="25"/>
      </w:r>
      <w:r w:rsidR="00211A8E" w:rsidRPr="00640A47">
        <w:rPr>
          <w:rFonts w:cstheme="minorHAnsi"/>
          <w:color w:val="000000" w:themeColor="text1"/>
          <w:sz w:val="24"/>
          <w:szCs w:val="24"/>
        </w:rPr>
        <w:t>.</w:t>
      </w:r>
    </w:p>
    <w:p w:rsidR="00211A8E" w:rsidRPr="00640A47" w:rsidRDefault="00211A8E"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lastRenderedPageBreak/>
        <w:tab/>
        <w:t xml:space="preserve">California, sin embargo, posee una regulación distinta. Desde 1983 el </w:t>
      </w:r>
      <w:r w:rsidRPr="00640A47">
        <w:rPr>
          <w:rFonts w:cstheme="minorHAnsi"/>
          <w:i/>
          <w:color w:val="000000" w:themeColor="text1"/>
          <w:sz w:val="24"/>
          <w:szCs w:val="24"/>
        </w:rPr>
        <w:t xml:space="preserve">California </w:t>
      </w:r>
      <w:proofErr w:type="spellStart"/>
      <w:r w:rsidRPr="00640A47">
        <w:rPr>
          <w:rFonts w:cstheme="minorHAnsi"/>
          <w:i/>
          <w:color w:val="000000" w:themeColor="text1"/>
          <w:sz w:val="24"/>
          <w:szCs w:val="24"/>
        </w:rPr>
        <w:t>Probate</w:t>
      </w:r>
      <w:proofErr w:type="spellEnd"/>
      <w:r w:rsidRPr="00640A47">
        <w:rPr>
          <w:rFonts w:cstheme="minorHAnsi"/>
          <w:i/>
          <w:color w:val="000000" w:themeColor="text1"/>
          <w:sz w:val="24"/>
          <w:szCs w:val="24"/>
        </w:rPr>
        <w:t xml:space="preserve"> </w:t>
      </w:r>
      <w:proofErr w:type="spellStart"/>
      <w:r w:rsidRPr="00640A47">
        <w:rPr>
          <w:rFonts w:cstheme="minorHAnsi"/>
          <w:i/>
          <w:color w:val="000000" w:themeColor="text1"/>
          <w:sz w:val="24"/>
          <w:szCs w:val="24"/>
        </w:rPr>
        <w:t>Code</w:t>
      </w:r>
      <w:proofErr w:type="spellEnd"/>
      <w:r w:rsidRPr="00640A47">
        <w:rPr>
          <w:rFonts w:cstheme="minorHAnsi"/>
          <w:i/>
          <w:color w:val="000000" w:themeColor="text1"/>
          <w:sz w:val="24"/>
          <w:szCs w:val="24"/>
        </w:rPr>
        <w:t xml:space="preserve"> </w:t>
      </w:r>
      <w:r w:rsidRPr="00640A47">
        <w:rPr>
          <w:rFonts w:cstheme="minorHAnsi"/>
          <w:color w:val="000000" w:themeColor="text1"/>
          <w:sz w:val="24"/>
          <w:szCs w:val="24"/>
        </w:rPr>
        <w:t xml:space="preserve">incluye a los hijastros e hijastras dentro de los órdenes sucesorios de la intestada. Esta inclusión se justificó en la idea de que entre los hijastros y padrastros se forman verdaderas relaciones </w:t>
      </w:r>
      <w:proofErr w:type="spellStart"/>
      <w:r w:rsidRPr="00640A47">
        <w:rPr>
          <w:rFonts w:cstheme="minorHAnsi"/>
          <w:color w:val="000000" w:themeColor="text1"/>
          <w:sz w:val="24"/>
          <w:szCs w:val="24"/>
        </w:rPr>
        <w:t>paternofiliales</w:t>
      </w:r>
      <w:proofErr w:type="spellEnd"/>
      <w:r w:rsidRPr="00640A47">
        <w:rPr>
          <w:rFonts w:cstheme="minorHAnsi"/>
          <w:color w:val="000000" w:themeColor="text1"/>
          <w:sz w:val="24"/>
          <w:szCs w:val="24"/>
        </w:rPr>
        <w:t xml:space="preserve">, por lo que no podían quedar excluidos de la sucesión intestada. Sin embargo, este derecho no se reconoce de forma automática a los hijastros e hijastras, sino que la ley prevé una serie de requisitos que deben cumplirse para entender que entre el causante y el hijastro o hijastra realmente existía una relación, que podríamos considerar como </w:t>
      </w:r>
      <w:proofErr w:type="spellStart"/>
      <w:r w:rsidRPr="00640A47">
        <w:rPr>
          <w:rFonts w:cstheme="minorHAnsi"/>
          <w:color w:val="000000" w:themeColor="text1"/>
          <w:sz w:val="24"/>
          <w:szCs w:val="24"/>
        </w:rPr>
        <w:t>paternofilial</w:t>
      </w:r>
      <w:proofErr w:type="spellEnd"/>
      <w:r w:rsidRPr="00640A47">
        <w:rPr>
          <w:rFonts w:cstheme="minorHAnsi"/>
          <w:color w:val="000000" w:themeColor="text1"/>
          <w:sz w:val="24"/>
          <w:szCs w:val="24"/>
        </w:rPr>
        <w:t xml:space="preserve">. Los requisitos impuestos legalmente son que la relación comenzara durante la minoría de edad del hijastro y </w:t>
      </w:r>
      <w:r w:rsidR="000502AB" w:rsidRPr="00640A47">
        <w:rPr>
          <w:rFonts w:cstheme="minorHAnsi"/>
          <w:color w:val="000000" w:themeColor="text1"/>
          <w:sz w:val="24"/>
          <w:szCs w:val="24"/>
        </w:rPr>
        <w:t>perdurara</w:t>
      </w:r>
      <w:r w:rsidRPr="00640A47">
        <w:rPr>
          <w:rFonts w:cstheme="minorHAnsi"/>
          <w:color w:val="000000" w:themeColor="text1"/>
          <w:sz w:val="24"/>
          <w:szCs w:val="24"/>
        </w:rPr>
        <w:t xml:space="preserve"> hasta el momento del fallecimiento del causante (padrastro o madrastra de ese menor) y que el solicitante muestre pruebas claras y convincentes de que el padrastro le había adoptado formalmente de no ser por un impedimento legal</w:t>
      </w:r>
      <w:r w:rsidR="000502AB" w:rsidRPr="00640A47">
        <w:rPr>
          <w:rStyle w:val="Refdenotaalpie"/>
          <w:rFonts w:cstheme="minorHAnsi"/>
          <w:color w:val="000000" w:themeColor="text1"/>
          <w:sz w:val="24"/>
          <w:szCs w:val="24"/>
        </w:rPr>
        <w:footnoteReference w:id="26"/>
      </w:r>
      <w:r w:rsidR="000502AB" w:rsidRPr="00640A47">
        <w:rPr>
          <w:rFonts w:cstheme="minorHAnsi"/>
          <w:color w:val="000000" w:themeColor="text1"/>
          <w:sz w:val="24"/>
          <w:szCs w:val="24"/>
        </w:rPr>
        <w:t>.</w:t>
      </w:r>
    </w:p>
    <w:p w:rsidR="007A77BB" w:rsidRPr="00640A47" w:rsidRDefault="007A77BB"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 xml:space="preserve">La regulación californiana no ha estado exenta de críticas, en particular a causa de la interpretación del requisito legal del impedimento para adoptar. La cuestión debatida radica en si ese impedimento basta con que exista durante la minoridad del hijo del cónyuge o conviviente o bien debe haberse prolongado hasta el fallecimiento del causante. En el caso </w:t>
      </w:r>
      <w:r w:rsidRPr="00640A47">
        <w:rPr>
          <w:rFonts w:cstheme="minorHAnsi"/>
          <w:i/>
          <w:color w:val="000000" w:themeColor="text1"/>
          <w:sz w:val="24"/>
          <w:szCs w:val="24"/>
        </w:rPr>
        <w:t xml:space="preserve">In re in </w:t>
      </w:r>
      <w:proofErr w:type="spellStart"/>
      <w:r w:rsidRPr="00640A47">
        <w:rPr>
          <w:rFonts w:cstheme="minorHAnsi"/>
          <w:i/>
          <w:color w:val="000000" w:themeColor="text1"/>
          <w:sz w:val="24"/>
          <w:szCs w:val="24"/>
        </w:rPr>
        <w:t>the</w:t>
      </w:r>
      <w:proofErr w:type="spellEnd"/>
      <w:r w:rsidRPr="00640A47">
        <w:rPr>
          <w:rFonts w:cstheme="minorHAnsi"/>
          <w:i/>
          <w:color w:val="000000" w:themeColor="text1"/>
          <w:sz w:val="24"/>
          <w:szCs w:val="24"/>
        </w:rPr>
        <w:t xml:space="preserve"> Estate of Stevenson</w:t>
      </w:r>
      <w:r w:rsidRPr="00640A47">
        <w:rPr>
          <w:rFonts w:cstheme="minorHAnsi"/>
          <w:color w:val="000000" w:themeColor="text1"/>
          <w:sz w:val="24"/>
          <w:szCs w:val="24"/>
        </w:rPr>
        <w:t xml:space="preserve"> (1991), el tribunal entendió que bastaba con que el impedimento hubiera aflorado durante la minoridad, pero en el caso </w:t>
      </w:r>
      <w:r w:rsidRPr="00640A47">
        <w:rPr>
          <w:rFonts w:cstheme="minorHAnsi"/>
          <w:i/>
          <w:color w:val="000000" w:themeColor="text1"/>
          <w:sz w:val="24"/>
          <w:szCs w:val="24"/>
        </w:rPr>
        <w:t xml:space="preserve">Estate of Cleveland </w:t>
      </w:r>
      <w:r w:rsidRPr="00640A47">
        <w:rPr>
          <w:rFonts w:cstheme="minorHAnsi"/>
          <w:color w:val="000000" w:themeColor="text1"/>
          <w:sz w:val="24"/>
          <w:szCs w:val="24"/>
        </w:rPr>
        <w:t>(1993) otro tribunal consideró que ese impedimento debía haber perdurado hasta la defunción del padrastro, con el resultado que en un caso el hijastro heredó y en el segundo no.</w:t>
      </w:r>
      <w:r w:rsidR="00ED5E4F" w:rsidRPr="00640A47">
        <w:rPr>
          <w:rFonts w:cstheme="minorHAnsi"/>
          <w:color w:val="000000" w:themeColor="text1"/>
          <w:sz w:val="24"/>
          <w:szCs w:val="24"/>
        </w:rPr>
        <w:t xml:space="preserve"> El Tribunal Supremo de California terció en el caso </w:t>
      </w:r>
      <w:r w:rsidR="002F66DF" w:rsidRPr="00640A47">
        <w:rPr>
          <w:rFonts w:cstheme="minorHAnsi"/>
          <w:i/>
          <w:color w:val="000000" w:themeColor="text1"/>
          <w:sz w:val="24"/>
          <w:szCs w:val="24"/>
        </w:rPr>
        <w:t xml:space="preserve">Estate of Joseph </w:t>
      </w:r>
      <w:r w:rsidR="00FB3CFF" w:rsidRPr="00640A47">
        <w:rPr>
          <w:rFonts w:cstheme="minorHAnsi"/>
          <w:color w:val="000000" w:themeColor="text1"/>
          <w:sz w:val="24"/>
          <w:szCs w:val="24"/>
        </w:rPr>
        <w:t xml:space="preserve">(1998) </w:t>
      </w:r>
      <w:r w:rsidR="002F66DF" w:rsidRPr="00640A47">
        <w:rPr>
          <w:rFonts w:cstheme="minorHAnsi"/>
          <w:color w:val="000000" w:themeColor="text1"/>
          <w:sz w:val="24"/>
          <w:szCs w:val="24"/>
        </w:rPr>
        <w:t xml:space="preserve">a favor de la segunda construcción, de modo de para que el hijastro o hijastra pueda suceder como heredero abintestato es necesario que el impedimento para su adopción haya perdurado hasta el fallecimiento del causante. Lo que es tanto como restringir el derecho </w:t>
      </w:r>
      <w:r w:rsidR="00907757" w:rsidRPr="00640A47">
        <w:rPr>
          <w:rFonts w:cstheme="minorHAnsi"/>
          <w:color w:val="000000" w:themeColor="text1"/>
          <w:sz w:val="24"/>
          <w:szCs w:val="24"/>
        </w:rPr>
        <w:t>hasta convertirlo casi</w:t>
      </w:r>
      <w:r w:rsidR="002F66DF" w:rsidRPr="00640A47">
        <w:rPr>
          <w:rFonts w:cstheme="minorHAnsi"/>
          <w:color w:val="000000" w:themeColor="text1"/>
          <w:sz w:val="24"/>
          <w:szCs w:val="24"/>
        </w:rPr>
        <w:t xml:space="preserve"> en residual</w:t>
      </w:r>
      <w:r w:rsidR="007431B9" w:rsidRPr="00640A47">
        <w:rPr>
          <w:rFonts w:cstheme="minorHAnsi"/>
          <w:color w:val="000000" w:themeColor="text1"/>
          <w:sz w:val="24"/>
          <w:szCs w:val="24"/>
        </w:rPr>
        <w:t xml:space="preserve"> para los mayores de edad</w:t>
      </w:r>
      <w:r w:rsidR="00BA63C0" w:rsidRPr="00640A47">
        <w:rPr>
          <w:rFonts w:cstheme="minorHAnsi"/>
          <w:color w:val="000000" w:themeColor="text1"/>
          <w:sz w:val="24"/>
          <w:szCs w:val="24"/>
        </w:rPr>
        <w:t xml:space="preserve"> al tiempo del fallecimiento del causante</w:t>
      </w:r>
      <w:r w:rsidR="00BA63C0" w:rsidRPr="00640A47">
        <w:rPr>
          <w:rStyle w:val="Refdenotaalpie"/>
          <w:rFonts w:cstheme="minorHAnsi"/>
          <w:color w:val="000000" w:themeColor="text1"/>
          <w:sz w:val="24"/>
          <w:szCs w:val="24"/>
        </w:rPr>
        <w:footnoteReference w:id="27"/>
      </w:r>
      <w:r w:rsidR="002F66DF" w:rsidRPr="00640A47">
        <w:rPr>
          <w:rFonts w:cstheme="minorHAnsi"/>
          <w:color w:val="000000" w:themeColor="text1"/>
          <w:sz w:val="24"/>
          <w:szCs w:val="24"/>
        </w:rPr>
        <w:t xml:space="preserve">, pues basta con la oposición a la adopción del otro progenitor para privarle de derechos sucesorios en la </w:t>
      </w:r>
      <w:r w:rsidR="002F66DF" w:rsidRPr="00640A47">
        <w:rPr>
          <w:rFonts w:cstheme="minorHAnsi"/>
          <w:color w:val="000000" w:themeColor="text1"/>
          <w:sz w:val="24"/>
          <w:szCs w:val="24"/>
        </w:rPr>
        <w:lastRenderedPageBreak/>
        <w:t>herencia del padrastro o madrastra.</w:t>
      </w:r>
      <w:r w:rsidR="007E25C7" w:rsidRPr="00640A47">
        <w:rPr>
          <w:rFonts w:cstheme="minorHAnsi"/>
          <w:color w:val="000000" w:themeColor="text1"/>
          <w:sz w:val="24"/>
          <w:szCs w:val="24"/>
        </w:rPr>
        <w:t xml:space="preserve"> No se reconoce derecho sucesorio alguno a los padrastros y madrastras en la sucesión del </w:t>
      </w:r>
      <w:r w:rsidR="00907757" w:rsidRPr="00640A47">
        <w:rPr>
          <w:rFonts w:cstheme="minorHAnsi"/>
          <w:color w:val="000000" w:themeColor="text1"/>
          <w:sz w:val="24"/>
          <w:szCs w:val="24"/>
        </w:rPr>
        <w:t>vástago</w:t>
      </w:r>
      <w:r w:rsidR="007E25C7" w:rsidRPr="00640A47">
        <w:rPr>
          <w:rFonts w:cstheme="minorHAnsi"/>
          <w:color w:val="000000" w:themeColor="text1"/>
          <w:sz w:val="24"/>
          <w:szCs w:val="24"/>
        </w:rPr>
        <w:t xml:space="preserve"> del cónyuge.</w:t>
      </w:r>
    </w:p>
    <w:p w:rsidR="00211A8E" w:rsidRPr="00640A47" w:rsidRDefault="00211A8E"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r>
      <w:r w:rsidR="006F4DCB" w:rsidRPr="00640A47">
        <w:rPr>
          <w:rFonts w:cstheme="minorHAnsi"/>
          <w:color w:val="000000" w:themeColor="text1"/>
          <w:sz w:val="24"/>
          <w:szCs w:val="24"/>
        </w:rPr>
        <w:t>De a</w:t>
      </w:r>
      <w:r w:rsidR="007431B9" w:rsidRPr="00640A47">
        <w:rPr>
          <w:rFonts w:cstheme="minorHAnsi"/>
          <w:color w:val="000000" w:themeColor="text1"/>
          <w:sz w:val="24"/>
          <w:szCs w:val="24"/>
        </w:rPr>
        <w:t>h</w:t>
      </w:r>
      <w:r w:rsidR="006F4DCB" w:rsidRPr="00640A47">
        <w:rPr>
          <w:rFonts w:cstheme="minorHAnsi"/>
          <w:color w:val="000000" w:themeColor="text1"/>
          <w:sz w:val="24"/>
          <w:szCs w:val="24"/>
        </w:rPr>
        <w:t>í que s</w:t>
      </w:r>
      <w:r w:rsidR="007431B9" w:rsidRPr="00640A47">
        <w:rPr>
          <w:rFonts w:cstheme="minorHAnsi"/>
          <w:color w:val="000000" w:themeColor="text1"/>
          <w:sz w:val="24"/>
          <w:szCs w:val="24"/>
        </w:rPr>
        <w:t xml:space="preserve">e hayan formulado diversas opiniones para revisar el resultado alcanzado en derecho californiano, proponiendo reformas legislativas. </w:t>
      </w:r>
      <w:proofErr w:type="spellStart"/>
      <w:r w:rsidR="007E25C7" w:rsidRPr="00640A47">
        <w:rPr>
          <w:rFonts w:cstheme="minorHAnsi"/>
          <w:color w:val="000000" w:themeColor="text1"/>
          <w:sz w:val="24"/>
          <w:szCs w:val="24"/>
        </w:rPr>
        <w:t>Mahoney</w:t>
      </w:r>
      <w:proofErr w:type="spellEnd"/>
      <w:r w:rsidR="007E25C7" w:rsidRPr="00640A47">
        <w:rPr>
          <w:rStyle w:val="Refdenotaalpie"/>
          <w:rFonts w:cstheme="minorHAnsi"/>
          <w:color w:val="000000" w:themeColor="text1"/>
          <w:sz w:val="24"/>
          <w:szCs w:val="24"/>
        </w:rPr>
        <w:footnoteReference w:id="28"/>
      </w:r>
      <w:r w:rsidR="007E25C7" w:rsidRPr="00640A47">
        <w:rPr>
          <w:rFonts w:cstheme="minorHAnsi"/>
          <w:color w:val="000000" w:themeColor="text1"/>
          <w:sz w:val="24"/>
          <w:szCs w:val="24"/>
        </w:rPr>
        <w:t xml:space="preserve"> sostiene que la solución de California es demasiado poco inclusiva, y propone cuatro parámetros que permitan ampliar el número de legitimados: la relación con el causante debe haberse iniciado durante la minoría de edad del hijastro o hijastra, debe existir una relación familiar </w:t>
      </w:r>
      <w:r w:rsidR="007E25C7" w:rsidRPr="00640A47">
        <w:rPr>
          <w:rFonts w:cstheme="minorHAnsi"/>
          <w:i/>
          <w:color w:val="000000" w:themeColor="text1"/>
          <w:sz w:val="24"/>
          <w:szCs w:val="24"/>
        </w:rPr>
        <w:t xml:space="preserve">de facto </w:t>
      </w:r>
      <w:r w:rsidR="007E25C7" w:rsidRPr="00640A47">
        <w:rPr>
          <w:rFonts w:cstheme="minorHAnsi"/>
          <w:color w:val="000000" w:themeColor="text1"/>
          <w:sz w:val="24"/>
          <w:szCs w:val="24"/>
        </w:rPr>
        <w:t xml:space="preserve">(aspecto cualitativo), sin tener en cuenta si ha concurrido o no voluntad de adoptar, y los padrastros y madrastras deben tener también derechos sucesorios </w:t>
      </w:r>
      <w:r w:rsidR="007431B9" w:rsidRPr="00640A47">
        <w:rPr>
          <w:rFonts w:cstheme="minorHAnsi"/>
          <w:color w:val="000000" w:themeColor="text1"/>
          <w:sz w:val="24"/>
          <w:szCs w:val="24"/>
        </w:rPr>
        <w:t>Hanson</w:t>
      </w:r>
      <w:r w:rsidR="00A13538" w:rsidRPr="00640A47">
        <w:rPr>
          <w:rStyle w:val="Refdenotaalpie"/>
          <w:rFonts w:cstheme="minorHAnsi"/>
          <w:color w:val="000000" w:themeColor="text1"/>
          <w:sz w:val="24"/>
          <w:szCs w:val="24"/>
        </w:rPr>
        <w:footnoteReference w:id="29"/>
      </w:r>
      <w:r w:rsidR="007431B9" w:rsidRPr="00640A47">
        <w:rPr>
          <w:rFonts w:cstheme="minorHAnsi"/>
          <w:color w:val="000000" w:themeColor="text1"/>
          <w:sz w:val="24"/>
          <w:szCs w:val="24"/>
        </w:rPr>
        <w:t xml:space="preserve"> ha defendido que lo procedente sería que el tribunal analizara si entre el causante y el hijastro o hijastra ha existido una relación como de padre e hijo, para lo que podrían establecerse algunas presunciones: que el causante no pudo legalmente adoptar al hijo del cónyuge, que la duración de la relación ha perdurado más allá de la mayoría de edad y que cuanta menor edad tenía el hijo del cónyuge al iniciar este la relación con el causante más fuerte es la presunción de la existencia de ese trato </w:t>
      </w:r>
      <w:proofErr w:type="spellStart"/>
      <w:r w:rsidR="007431B9" w:rsidRPr="00640A47">
        <w:rPr>
          <w:rFonts w:cstheme="minorHAnsi"/>
          <w:color w:val="000000" w:themeColor="text1"/>
          <w:sz w:val="24"/>
          <w:szCs w:val="24"/>
        </w:rPr>
        <w:t>paternofilial</w:t>
      </w:r>
      <w:proofErr w:type="spellEnd"/>
      <w:r w:rsidR="007431B9" w:rsidRPr="00640A47">
        <w:rPr>
          <w:rFonts w:cstheme="minorHAnsi"/>
          <w:color w:val="000000" w:themeColor="text1"/>
          <w:sz w:val="24"/>
          <w:szCs w:val="24"/>
        </w:rPr>
        <w:t xml:space="preserve">. </w:t>
      </w:r>
      <w:proofErr w:type="spellStart"/>
      <w:r w:rsidR="00046707" w:rsidRPr="00640A47">
        <w:rPr>
          <w:rFonts w:cstheme="minorHAnsi"/>
          <w:color w:val="000000" w:themeColor="text1"/>
          <w:sz w:val="24"/>
          <w:szCs w:val="24"/>
        </w:rPr>
        <w:t>Feigenbaum</w:t>
      </w:r>
      <w:proofErr w:type="spellEnd"/>
      <w:r w:rsidR="006475ED" w:rsidRPr="00640A47">
        <w:rPr>
          <w:rStyle w:val="Refdenotaalpie"/>
          <w:rFonts w:cstheme="minorHAnsi"/>
          <w:color w:val="000000" w:themeColor="text1"/>
          <w:sz w:val="24"/>
          <w:szCs w:val="24"/>
        </w:rPr>
        <w:footnoteReference w:id="30"/>
      </w:r>
      <w:r w:rsidR="00046707" w:rsidRPr="00640A47">
        <w:rPr>
          <w:rFonts w:cstheme="minorHAnsi"/>
          <w:color w:val="000000" w:themeColor="text1"/>
          <w:sz w:val="24"/>
          <w:szCs w:val="24"/>
        </w:rPr>
        <w:t xml:space="preserve">, quien también se decanta por exigir que el trato familiar entre causante e hijastro o hijastra se haya iniciado en la minoridad de estos, </w:t>
      </w:r>
      <w:r w:rsidR="006475ED" w:rsidRPr="00640A47">
        <w:rPr>
          <w:rFonts w:cstheme="minorHAnsi"/>
          <w:color w:val="000000" w:themeColor="text1"/>
          <w:sz w:val="24"/>
          <w:szCs w:val="24"/>
        </w:rPr>
        <w:t>propone una escala para determinar su participación en la sucesión, de modo que a mayor número de años de trato familiar, mayor cuantía de la cuota en la herencia para el hijastro o hijastra, con el argumento que las estadísticas demuestran que en las segundas parejas la tasa de separación y divorcio es aún mayor.</w:t>
      </w:r>
      <w:r w:rsidR="00F27040" w:rsidRPr="00640A47">
        <w:rPr>
          <w:rFonts w:cstheme="minorHAnsi"/>
          <w:color w:val="000000" w:themeColor="text1"/>
          <w:sz w:val="24"/>
          <w:szCs w:val="24"/>
        </w:rPr>
        <w:t xml:space="preserve"> Por último, vamos a referirnos a </w:t>
      </w:r>
      <w:proofErr w:type="spellStart"/>
      <w:r w:rsidR="00F27040" w:rsidRPr="00640A47">
        <w:rPr>
          <w:rFonts w:cstheme="minorHAnsi"/>
          <w:color w:val="000000" w:themeColor="text1"/>
          <w:sz w:val="24"/>
          <w:szCs w:val="24"/>
        </w:rPr>
        <w:t>Cremer</w:t>
      </w:r>
      <w:proofErr w:type="spellEnd"/>
      <w:r w:rsidR="009C301C" w:rsidRPr="00640A47">
        <w:rPr>
          <w:rStyle w:val="Refdenotaalpie"/>
          <w:rFonts w:cstheme="minorHAnsi"/>
          <w:color w:val="000000" w:themeColor="text1"/>
          <w:sz w:val="24"/>
          <w:szCs w:val="24"/>
        </w:rPr>
        <w:footnoteReference w:id="31"/>
      </w:r>
      <w:r w:rsidR="00F27040" w:rsidRPr="00640A47">
        <w:rPr>
          <w:rFonts w:cstheme="minorHAnsi"/>
          <w:color w:val="000000" w:themeColor="text1"/>
          <w:sz w:val="24"/>
          <w:szCs w:val="24"/>
        </w:rPr>
        <w:t xml:space="preserve">, quien defiende que la sucesión intestada del hijastro o hijastra debe fundamentarse en la relación </w:t>
      </w:r>
      <w:proofErr w:type="spellStart"/>
      <w:r w:rsidR="00F27040" w:rsidRPr="00640A47">
        <w:rPr>
          <w:rFonts w:cstheme="minorHAnsi"/>
          <w:color w:val="000000" w:themeColor="text1"/>
          <w:sz w:val="24"/>
          <w:szCs w:val="24"/>
        </w:rPr>
        <w:t>paternofilial</w:t>
      </w:r>
      <w:proofErr w:type="spellEnd"/>
      <w:r w:rsidR="00F27040" w:rsidRPr="00640A47">
        <w:rPr>
          <w:rFonts w:cstheme="minorHAnsi"/>
          <w:color w:val="000000" w:themeColor="text1"/>
          <w:sz w:val="24"/>
          <w:szCs w:val="24"/>
        </w:rPr>
        <w:t xml:space="preserve"> trabada entre ellos, para cuya valoración enumera una serie de factores a tomar en consideración: </w:t>
      </w:r>
      <w:r w:rsidR="009C301C" w:rsidRPr="00640A47">
        <w:rPr>
          <w:rFonts w:cstheme="minorHAnsi"/>
          <w:color w:val="000000" w:themeColor="text1"/>
          <w:sz w:val="24"/>
          <w:szCs w:val="24"/>
        </w:rPr>
        <w:t xml:space="preserve">la edad en que comenzó el trato, considerando que si empezó en la mayor edad las probabilidades de verdadero trato familiar disminuyen notablemente; la duración del matrimonio entre el progenitor y el causante, si el causante tenía hijos naturales y cuál era la relación comparativa en el trato con el hijastro o hijastra, si este cuidó al causante en su vejez como si fuera el hijo, la frecuencia de la convivencia, la designación como “padre” o “madre”, si lo hubiera </w:t>
      </w:r>
      <w:r w:rsidR="009C301C" w:rsidRPr="00640A47">
        <w:rPr>
          <w:rFonts w:cstheme="minorHAnsi"/>
          <w:color w:val="000000" w:themeColor="text1"/>
          <w:sz w:val="24"/>
          <w:szCs w:val="24"/>
        </w:rPr>
        <w:lastRenderedPageBreak/>
        <w:t>adoptado de no existir un impedimento legal, si se mantuvo la relación tras el fallecimiento o el divorcio del progenitor, o si el causante ayudaba económicamente al hijastro o hijastra al tiempo del fallecimiento. Sostiene la autora que, ante la diversidad de las familias reconstituidas, el test de factores ofrece una mayor flexibilidad para valorar si concurre el trato familiar y. así, incrementar el número de posibles sucesores.</w:t>
      </w:r>
    </w:p>
    <w:p w:rsidR="00636D81" w:rsidRPr="00640A47" w:rsidRDefault="00636D81"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 xml:space="preserve">Otros estados norteamericanos, en los casos en que consideran equitativo que los hijastros e hijastras sucedan, ante la ausencia de norma legal, intentan asirse a la noción de </w:t>
      </w:r>
      <w:proofErr w:type="spellStart"/>
      <w:r w:rsidRPr="00640A47">
        <w:rPr>
          <w:rFonts w:cstheme="minorHAnsi"/>
          <w:i/>
          <w:color w:val="000000" w:themeColor="text1"/>
          <w:sz w:val="24"/>
          <w:szCs w:val="24"/>
        </w:rPr>
        <w:t>equitable</w:t>
      </w:r>
      <w:proofErr w:type="spellEnd"/>
      <w:r w:rsidRPr="00640A47">
        <w:rPr>
          <w:rFonts w:cstheme="minorHAnsi"/>
          <w:i/>
          <w:color w:val="000000" w:themeColor="text1"/>
          <w:sz w:val="24"/>
          <w:szCs w:val="24"/>
        </w:rPr>
        <w:t xml:space="preserve"> </w:t>
      </w:r>
      <w:proofErr w:type="spellStart"/>
      <w:r w:rsidRPr="00640A47">
        <w:rPr>
          <w:rFonts w:cstheme="minorHAnsi"/>
          <w:i/>
          <w:color w:val="000000" w:themeColor="text1"/>
          <w:sz w:val="24"/>
          <w:szCs w:val="24"/>
        </w:rPr>
        <w:t>adoption</w:t>
      </w:r>
      <w:proofErr w:type="spellEnd"/>
      <w:r w:rsidRPr="00640A47">
        <w:rPr>
          <w:rFonts w:cstheme="minorHAnsi"/>
          <w:i/>
          <w:color w:val="000000" w:themeColor="text1"/>
          <w:sz w:val="24"/>
          <w:szCs w:val="24"/>
        </w:rPr>
        <w:t xml:space="preserve">, </w:t>
      </w:r>
      <w:r w:rsidRPr="00640A47">
        <w:rPr>
          <w:rFonts w:cstheme="minorHAnsi"/>
          <w:color w:val="000000" w:themeColor="text1"/>
          <w:sz w:val="24"/>
          <w:szCs w:val="24"/>
        </w:rPr>
        <w:t>una doctrina jurisprudencial que permite tratar como a hijo a quien se pretendía adoptar habiéndose ya firmado el contrato de adopción, pero sin que esta pudiera completarse, e incluso ocasionalmente sin tal contrato ni promesa de contrato. En general la doctrina rechaza esta teoría por su subjetivismo que conduce a una excesiva incertidumbre sobre cuál será la decisión del juez</w:t>
      </w:r>
      <w:r w:rsidRPr="00640A47">
        <w:rPr>
          <w:rStyle w:val="Refdenotaalpie"/>
          <w:rFonts w:cstheme="minorHAnsi"/>
          <w:color w:val="000000" w:themeColor="text1"/>
          <w:sz w:val="24"/>
          <w:szCs w:val="24"/>
        </w:rPr>
        <w:footnoteReference w:id="32"/>
      </w:r>
      <w:r w:rsidRPr="00640A47">
        <w:rPr>
          <w:rFonts w:cstheme="minorHAnsi"/>
          <w:color w:val="000000" w:themeColor="text1"/>
          <w:sz w:val="24"/>
          <w:szCs w:val="24"/>
        </w:rPr>
        <w:t>. En todo caso, es una muestra de la búsqueda de soluciones para resolver casos en que el resultado se percibe como injusto.</w:t>
      </w:r>
    </w:p>
    <w:p w:rsidR="005122C6" w:rsidRPr="00640A47" w:rsidRDefault="00511B10" w:rsidP="00640A47">
      <w:pPr>
        <w:spacing w:line="312" w:lineRule="auto"/>
        <w:jc w:val="both"/>
        <w:rPr>
          <w:rFonts w:cstheme="minorHAnsi"/>
          <w:b/>
          <w:color w:val="000000" w:themeColor="text1"/>
          <w:sz w:val="24"/>
          <w:szCs w:val="24"/>
        </w:rPr>
      </w:pPr>
      <w:r>
        <w:rPr>
          <w:rFonts w:cstheme="minorHAnsi"/>
          <w:b/>
          <w:color w:val="000000" w:themeColor="text1"/>
          <w:sz w:val="24"/>
          <w:szCs w:val="24"/>
        </w:rPr>
        <w:t>4</w:t>
      </w:r>
      <w:r w:rsidR="005122C6" w:rsidRPr="00640A47">
        <w:rPr>
          <w:rFonts w:cstheme="minorHAnsi"/>
          <w:b/>
          <w:color w:val="000000" w:themeColor="text1"/>
          <w:sz w:val="24"/>
          <w:szCs w:val="24"/>
        </w:rPr>
        <w:t>. ALGUNAS PROPUESTAS PARA UNA EVENTUAL REFORMA LEGISLATIVA</w:t>
      </w:r>
    </w:p>
    <w:p w:rsidR="005122C6" w:rsidRPr="00640A47" w:rsidRDefault="005122C6"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Una propuesta de reforma legislativa destinada a reconocer derechos sucesorios legales a los miembros de familias reconstituidas sin lazos de consanguinidad exige una enorme cautela. Como hemos subrayado, no hay un único modelo de familia reconstituida, antes al contrario, las tipologías son muy variadas. No es lo mismo una familia reconstituida en la que uno de los cónyuges o convivientes aporta hijos que no tienen otro progenitor que aquella en la que los hijos del cónyuge o conviviente tienen el otro progenitor que, además, ejerce los derechos y deberes inherentes a su paternidad o maternidad. Por ello, ya de entrada reconocemos la imposibilidad de formular una propuesta que valga para toda familia reconstituida. Por el contrario, la prudencia aconseja considerar únicamente aquellas situaciones que puedan generar la máxima aceptación</w:t>
      </w:r>
      <w:r w:rsidR="00192541" w:rsidRPr="00640A47">
        <w:rPr>
          <w:rStyle w:val="Refdenotaalpie"/>
          <w:rFonts w:cstheme="minorHAnsi"/>
          <w:color w:val="000000" w:themeColor="text1"/>
          <w:sz w:val="24"/>
          <w:szCs w:val="24"/>
        </w:rPr>
        <w:footnoteReference w:id="33"/>
      </w:r>
      <w:r w:rsidRPr="00640A47">
        <w:rPr>
          <w:rFonts w:cstheme="minorHAnsi"/>
          <w:color w:val="000000" w:themeColor="text1"/>
          <w:sz w:val="24"/>
          <w:szCs w:val="24"/>
        </w:rPr>
        <w:t xml:space="preserve">. Por otra parte, pensamos que los datos </w:t>
      </w:r>
      <w:r w:rsidRPr="00640A47">
        <w:rPr>
          <w:rFonts w:cstheme="minorHAnsi"/>
          <w:color w:val="000000" w:themeColor="text1"/>
          <w:sz w:val="24"/>
          <w:szCs w:val="24"/>
        </w:rPr>
        <w:lastRenderedPageBreak/>
        <w:t xml:space="preserve">estadísticos empujan a tratar de ofrecer alguna propuesta; si en 2011 podía calcularse que un 7,5% de las familias españolas son </w:t>
      </w:r>
      <w:proofErr w:type="spellStart"/>
      <w:r w:rsidRPr="00640A47">
        <w:rPr>
          <w:rFonts w:cstheme="minorHAnsi"/>
          <w:color w:val="000000" w:themeColor="text1"/>
          <w:sz w:val="24"/>
          <w:szCs w:val="24"/>
        </w:rPr>
        <w:t>etiquetables</w:t>
      </w:r>
      <w:proofErr w:type="spellEnd"/>
      <w:r w:rsidRPr="00640A47">
        <w:rPr>
          <w:rFonts w:cstheme="minorHAnsi"/>
          <w:color w:val="000000" w:themeColor="text1"/>
          <w:sz w:val="24"/>
          <w:szCs w:val="24"/>
        </w:rPr>
        <w:t xml:space="preserve"> como reconstituidas y este porcentaje dobla el de 2001, no es temerario </w:t>
      </w:r>
      <w:r w:rsidR="00AE31EC" w:rsidRPr="00640A47">
        <w:rPr>
          <w:rFonts w:cstheme="minorHAnsi"/>
          <w:color w:val="000000" w:themeColor="text1"/>
          <w:sz w:val="24"/>
          <w:szCs w:val="24"/>
        </w:rPr>
        <w:t xml:space="preserve">pensar que ese porcentaje debe superar </w:t>
      </w:r>
      <w:r w:rsidR="00F11755" w:rsidRPr="00640A47">
        <w:rPr>
          <w:rFonts w:cstheme="minorHAnsi"/>
          <w:color w:val="000000" w:themeColor="text1"/>
          <w:sz w:val="24"/>
          <w:szCs w:val="24"/>
        </w:rPr>
        <w:t>hoy</w:t>
      </w:r>
      <w:r w:rsidR="00AE31EC" w:rsidRPr="00640A47">
        <w:rPr>
          <w:rFonts w:cstheme="minorHAnsi"/>
          <w:color w:val="000000" w:themeColor="text1"/>
          <w:sz w:val="24"/>
          <w:szCs w:val="24"/>
        </w:rPr>
        <w:t xml:space="preserve"> el 10%.</w:t>
      </w:r>
    </w:p>
    <w:p w:rsidR="00AE31EC" w:rsidRPr="00640A47" w:rsidRDefault="00AE31EC"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 xml:space="preserve">La situación actual debe considerarse insatisfactoria para un número importante de familias reconstituidas. La hijastra que ha convivido con el marido de su madre desde la tierna infancia, que ha sido tratada como hija, que ha continuado viviendo con su padrastro tras el fallecimiento de su madre, que se han cuidado mutuamente en los momentos de enfermedad o en la vejez, carece de cualquier derecho sucesorio legal. Ni será heredera abintestato ni tendrá derecho a reclamar ninguna legítima; lo que es peor, en la sucesión intestada, los colaterales más lejanos, aunque no guardaran relación familiar con el causante, serían llamados a la herencia, en detrimento de quien fue tratada como hija (lo que los norteamericanos denominan un </w:t>
      </w:r>
      <w:proofErr w:type="spellStart"/>
      <w:r w:rsidRPr="00640A47">
        <w:rPr>
          <w:rFonts w:cstheme="minorHAnsi"/>
          <w:i/>
          <w:color w:val="000000" w:themeColor="text1"/>
          <w:sz w:val="24"/>
          <w:szCs w:val="24"/>
        </w:rPr>
        <w:t>laughing</w:t>
      </w:r>
      <w:proofErr w:type="spellEnd"/>
      <w:r w:rsidRPr="00640A47">
        <w:rPr>
          <w:rFonts w:cstheme="minorHAnsi"/>
          <w:i/>
          <w:color w:val="000000" w:themeColor="text1"/>
          <w:sz w:val="24"/>
          <w:szCs w:val="24"/>
        </w:rPr>
        <w:t xml:space="preserve"> </w:t>
      </w:r>
      <w:proofErr w:type="spellStart"/>
      <w:r w:rsidRPr="00640A47">
        <w:rPr>
          <w:rFonts w:cstheme="minorHAnsi"/>
          <w:i/>
          <w:color w:val="000000" w:themeColor="text1"/>
          <w:sz w:val="24"/>
          <w:szCs w:val="24"/>
        </w:rPr>
        <w:t>heir</w:t>
      </w:r>
      <w:proofErr w:type="spellEnd"/>
      <w:r w:rsidRPr="00640A47">
        <w:rPr>
          <w:rFonts w:cstheme="minorHAnsi"/>
          <w:color w:val="000000" w:themeColor="text1"/>
          <w:sz w:val="24"/>
          <w:szCs w:val="24"/>
        </w:rPr>
        <w:t>), e incluso el Estado heredaría antes que la hijastra. Cierto que el causante podría haber otorgado testamento y prever la situación, pero no todo el mundo testa</w:t>
      </w:r>
      <w:r w:rsidR="0022659B" w:rsidRPr="00640A47">
        <w:rPr>
          <w:rFonts w:cstheme="minorHAnsi"/>
          <w:color w:val="000000" w:themeColor="text1"/>
          <w:sz w:val="24"/>
          <w:szCs w:val="24"/>
        </w:rPr>
        <w:t>, por diversas razones. Si la herencia se defiere intestada de acuerdo con las preferencias de distribución de la herencia que el legislador presupone en un testador medio, creemos que es poco cuestionable que la mayoría de padrastros preferirían que la herencia la adquiriese la hijastra antes que el Estado, y muy probablemente antes que los colaterales más lejanos</w:t>
      </w:r>
      <w:r w:rsidR="00165C7C" w:rsidRPr="00640A47">
        <w:rPr>
          <w:rStyle w:val="Refdenotaalpie"/>
          <w:rFonts w:cstheme="minorHAnsi"/>
          <w:color w:val="000000" w:themeColor="text1"/>
          <w:sz w:val="24"/>
          <w:szCs w:val="24"/>
        </w:rPr>
        <w:footnoteReference w:id="34"/>
      </w:r>
      <w:r w:rsidR="0022659B" w:rsidRPr="00640A47">
        <w:rPr>
          <w:rFonts w:cstheme="minorHAnsi"/>
          <w:color w:val="000000" w:themeColor="text1"/>
          <w:sz w:val="24"/>
          <w:szCs w:val="24"/>
        </w:rPr>
        <w:t>.</w:t>
      </w:r>
    </w:p>
    <w:p w:rsidR="00F11755" w:rsidRPr="00640A47" w:rsidRDefault="00F11755" w:rsidP="00640A47">
      <w:pPr>
        <w:spacing w:line="312" w:lineRule="auto"/>
        <w:ind w:firstLine="708"/>
        <w:jc w:val="both"/>
        <w:rPr>
          <w:rFonts w:cstheme="minorHAnsi"/>
          <w:color w:val="000000" w:themeColor="text1"/>
          <w:sz w:val="24"/>
          <w:szCs w:val="24"/>
        </w:rPr>
      </w:pPr>
      <w:r w:rsidRPr="00640A47">
        <w:rPr>
          <w:rFonts w:cstheme="minorHAnsi"/>
          <w:color w:val="000000" w:themeColor="text1"/>
          <w:sz w:val="24"/>
          <w:szCs w:val="24"/>
        </w:rPr>
        <w:t>Susana Navas</w:t>
      </w:r>
      <w:r w:rsidRPr="00640A47">
        <w:rPr>
          <w:rStyle w:val="Refdenotaalpie"/>
          <w:rFonts w:cstheme="minorHAnsi"/>
          <w:color w:val="000000" w:themeColor="text1"/>
          <w:sz w:val="24"/>
          <w:szCs w:val="24"/>
        </w:rPr>
        <w:footnoteReference w:id="35"/>
      </w:r>
      <w:r w:rsidRPr="00640A47">
        <w:rPr>
          <w:rFonts w:cstheme="minorHAnsi"/>
          <w:color w:val="000000" w:themeColor="text1"/>
          <w:sz w:val="24"/>
          <w:szCs w:val="24"/>
        </w:rPr>
        <w:t xml:space="preserve"> ha señalado críticamente la asimetría que se produce en la protección jurídica de los hijos del matrimonio según sean comunes o no, dando lugar, según su parecer, a discriminación. No compartimos totalmente esta afirmación, por razón de que no hay un único modelo de familia reconstituida; sí la compartimos cuando se trata de los casos modelo en que la integración del hijastro o hijastra ha sido total, pero el problema es que este no es el paradigma. Por ello pensamos que, cuanto menos en derecho de sucesiones, hay que hilar más fino.</w:t>
      </w:r>
    </w:p>
    <w:p w:rsidR="000222E0" w:rsidRPr="00640A47" w:rsidRDefault="000222E0" w:rsidP="00640A47">
      <w:pPr>
        <w:spacing w:line="312" w:lineRule="auto"/>
        <w:jc w:val="both"/>
        <w:rPr>
          <w:rFonts w:cstheme="minorHAnsi"/>
          <w:sz w:val="24"/>
          <w:szCs w:val="24"/>
        </w:rPr>
      </w:pPr>
      <w:r w:rsidRPr="00640A47">
        <w:rPr>
          <w:rFonts w:cstheme="minorHAnsi"/>
          <w:sz w:val="24"/>
          <w:szCs w:val="24"/>
        </w:rPr>
        <w:tab/>
        <w:t xml:space="preserve">La  propuesta que ofrecemos distingue entre la sucesión abintestato y la legítima. Ambas tienen su problemática específica que aconseja un trato diferenciado. </w:t>
      </w:r>
      <w:r w:rsidRPr="00640A47">
        <w:rPr>
          <w:rFonts w:cstheme="minorHAnsi"/>
          <w:sz w:val="24"/>
          <w:szCs w:val="24"/>
        </w:rPr>
        <w:lastRenderedPageBreak/>
        <w:t>Pero, para ambas, hay que partir de los pocos datos legales de que disponemos.</w:t>
      </w:r>
      <w:r w:rsidR="00AC6525" w:rsidRPr="00640A47">
        <w:rPr>
          <w:rFonts w:cstheme="minorHAnsi"/>
          <w:sz w:val="24"/>
          <w:szCs w:val="24"/>
        </w:rPr>
        <w:t xml:space="preserve"> Estos datos legales indican que para ser considerado miembro de la familia, en particular para ser parte en la economía familiar, tanto a nivel de computar entre los gastos familiares como para contribuir a ellos, se exige la </w:t>
      </w:r>
      <w:r w:rsidR="0022047B" w:rsidRPr="00640A47">
        <w:rPr>
          <w:rFonts w:cstheme="minorHAnsi"/>
          <w:sz w:val="24"/>
          <w:szCs w:val="24"/>
        </w:rPr>
        <w:t>convivencia; pero, si se trata, además, de reconocer un derecho –la titularidad de la potestad. Entonces se exige una convivencia cualificada por una determinada duración.</w:t>
      </w:r>
      <w:r w:rsidR="007D1093" w:rsidRPr="00640A47">
        <w:rPr>
          <w:rFonts w:cstheme="minorHAnsi"/>
          <w:sz w:val="24"/>
          <w:szCs w:val="24"/>
        </w:rPr>
        <w:t xml:space="preserve"> Por consiguiente, entendemos que la convivencia debe ser exigida siempre para que se reconozca cualquier derecho sucesorio legal, sin perjuicio de perfilar con más detalle el concreto derecho sucesorio si la convivencia resulta cualificada por su duración.</w:t>
      </w:r>
      <w:r w:rsidR="002E2CB0" w:rsidRPr="00640A47">
        <w:rPr>
          <w:rFonts w:cstheme="minorHAnsi"/>
          <w:sz w:val="24"/>
          <w:szCs w:val="24"/>
        </w:rPr>
        <w:t xml:space="preserve"> Hay que tener en cuenta que las investigaciones sociológicas aventuran una emancipación más temprana de los hijos de familias reconstituidas, interrumpiéndose la convivencia y evidenciando que el vínculo es más quebradizo</w:t>
      </w:r>
      <w:r w:rsidR="002E2CB0" w:rsidRPr="00640A47">
        <w:rPr>
          <w:rStyle w:val="Refdenotaalpie"/>
          <w:rFonts w:cstheme="minorHAnsi"/>
          <w:sz w:val="24"/>
          <w:szCs w:val="24"/>
        </w:rPr>
        <w:footnoteReference w:id="36"/>
      </w:r>
      <w:r w:rsidR="002E2CB0" w:rsidRPr="00640A47">
        <w:rPr>
          <w:rFonts w:cstheme="minorHAnsi"/>
          <w:sz w:val="24"/>
          <w:szCs w:val="24"/>
        </w:rPr>
        <w:t>.</w:t>
      </w:r>
    </w:p>
    <w:p w:rsidR="007D1093" w:rsidRPr="00640A47" w:rsidRDefault="007D1093" w:rsidP="00640A47">
      <w:pPr>
        <w:spacing w:line="312" w:lineRule="auto"/>
        <w:jc w:val="both"/>
        <w:rPr>
          <w:rFonts w:cstheme="minorHAnsi"/>
          <w:sz w:val="24"/>
          <w:szCs w:val="24"/>
        </w:rPr>
      </w:pPr>
      <w:r w:rsidRPr="00640A47">
        <w:rPr>
          <w:rFonts w:cstheme="minorHAnsi"/>
          <w:sz w:val="24"/>
          <w:szCs w:val="24"/>
        </w:rPr>
        <w:tab/>
        <w:t>Esta convivencia no exige más requisitos que la que se exige a los miembros de una familia nuclear cualquiera, es decir, es compatible con períodos de separación más o menos dilatados por razón de estudios, trabajo, salud o similares</w:t>
      </w:r>
      <w:r w:rsidR="00210B92" w:rsidRPr="00640A47">
        <w:rPr>
          <w:rFonts w:cstheme="minorHAnsi"/>
          <w:sz w:val="24"/>
          <w:szCs w:val="24"/>
        </w:rPr>
        <w:t>. Pero entendemos que, tratándose del reconocimiento de derechos legales, debe requerirse un plus de probabilidad en la existencia de verdaderos lazos similares a los existentes entre progenitores e hijos por naturaleza, de ahí que postulemos restringir los derechos sucesorios a quienes han iniciado la convivencia con el causante siendo menores de edad, pues la experiencia estad</w:t>
      </w:r>
      <w:r w:rsidR="0018407B" w:rsidRPr="00640A47">
        <w:rPr>
          <w:rFonts w:cstheme="minorHAnsi"/>
          <w:sz w:val="24"/>
          <w:szCs w:val="24"/>
        </w:rPr>
        <w:t>ística así lo evidencia</w:t>
      </w:r>
      <w:r w:rsidR="0018407B" w:rsidRPr="00640A47">
        <w:rPr>
          <w:rStyle w:val="Refdenotaalpie"/>
          <w:rFonts w:cstheme="minorHAnsi"/>
          <w:sz w:val="24"/>
          <w:szCs w:val="24"/>
        </w:rPr>
        <w:footnoteReference w:id="37"/>
      </w:r>
      <w:r w:rsidR="0018407B" w:rsidRPr="00640A47">
        <w:rPr>
          <w:rFonts w:cstheme="minorHAnsi"/>
          <w:sz w:val="24"/>
          <w:szCs w:val="24"/>
        </w:rPr>
        <w:t>.</w:t>
      </w:r>
      <w:r w:rsidRPr="00640A47">
        <w:rPr>
          <w:rFonts w:cstheme="minorHAnsi"/>
          <w:sz w:val="24"/>
          <w:szCs w:val="24"/>
        </w:rPr>
        <w:t xml:space="preserve"> </w:t>
      </w:r>
    </w:p>
    <w:p w:rsidR="00EF701F" w:rsidRPr="00F72D1E" w:rsidRDefault="00511B10" w:rsidP="00640A47">
      <w:pPr>
        <w:spacing w:line="312" w:lineRule="auto"/>
        <w:jc w:val="both"/>
        <w:rPr>
          <w:rFonts w:cstheme="minorHAnsi"/>
          <w:b/>
          <w:i/>
          <w:sz w:val="24"/>
          <w:szCs w:val="24"/>
        </w:rPr>
      </w:pPr>
      <w:r w:rsidRPr="00F72D1E">
        <w:rPr>
          <w:rFonts w:cstheme="minorHAnsi"/>
          <w:b/>
          <w:i/>
          <w:sz w:val="24"/>
          <w:szCs w:val="24"/>
        </w:rPr>
        <w:t>4.</w:t>
      </w:r>
      <w:r w:rsidR="00EF701F" w:rsidRPr="00F72D1E">
        <w:rPr>
          <w:rFonts w:cstheme="minorHAnsi"/>
          <w:b/>
          <w:i/>
          <w:sz w:val="24"/>
          <w:szCs w:val="24"/>
        </w:rPr>
        <w:t>1. Sucesión intestada</w:t>
      </w:r>
    </w:p>
    <w:p w:rsidR="0079519C" w:rsidRPr="00640A47" w:rsidRDefault="00CB2BF6" w:rsidP="00640A47">
      <w:pPr>
        <w:spacing w:line="312" w:lineRule="auto"/>
        <w:jc w:val="both"/>
        <w:rPr>
          <w:rFonts w:cstheme="minorHAnsi"/>
          <w:sz w:val="24"/>
          <w:szCs w:val="24"/>
        </w:rPr>
      </w:pPr>
      <w:r w:rsidRPr="00640A47">
        <w:rPr>
          <w:rFonts w:cstheme="minorHAnsi"/>
          <w:sz w:val="24"/>
          <w:szCs w:val="24"/>
        </w:rPr>
        <w:tab/>
      </w:r>
      <w:r w:rsidR="0079519C" w:rsidRPr="00640A47">
        <w:rPr>
          <w:rFonts w:cstheme="minorHAnsi"/>
          <w:sz w:val="24"/>
          <w:szCs w:val="24"/>
        </w:rPr>
        <w:t>En nuestra opinión, mediante la oportuna reforma legal, es factible reconocer derechos en la sucesión intestada a los miembros de las familias recompuestas. La propuesta que formulamos es múltiple, con tres planos que no son</w:t>
      </w:r>
      <w:r w:rsidR="00F11755" w:rsidRPr="00640A47">
        <w:rPr>
          <w:rFonts w:cstheme="minorHAnsi"/>
          <w:sz w:val="24"/>
          <w:szCs w:val="24"/>
        </w:rPr>
        <w:t xml:space="preserve"> necesariamente</w:t>
      </w:r>
      <w:r w:rsidR="0079519C" w:rsidRPr="00640A47">
        <w:rPr>
          <w:rFonts w:cstheme="minorHAnsi"/>
          <w:sz w:val="24"/>
          <w:szCs w:val="24"/>
        </w:rPr>
        <w:t xml:space="preserve"> incompatibles entre ellos, </w:t>
      </w:r>
      <w:r w:rsidR="00F11755" w:rsidRPr="00640A47">
        <w:rPr>
          <w:rFonts w:cstheme="minorHAnsi"/>
          <w:sz w:val="24"/>
          <w:szCs w:val="24"/>
        </w:rPr>
        <w:t xml:space="preserve">sino que cabría su acumulación. </w:t>
      </w:r>
      <w:r w:rsidR="0079519C" w:rsidRPr="00640A47">
        <w:rPr>
          <w:rFonts w:cstheme="minorHAnsi"/>
          <w:sz w:val="24"/>
          <w:szCs w:val="24"/>
        </w:rPr>
        <w:t>Solo el tercero, el más ambicioso, exige una reforma de más calado con el fin de evitar contradicciones en la regulación de la intestada.</w:t>
      </w:r>
    </w:p>
    <w:p w:rsidR="00CB2BF6" w:rsidRPr="00640A47" w:rsidRDefault="00CB2BF6" w:rsidP="00640A47">
      <w:pPr>
        <w:spacing w:line="312" w:lineRule="auto"/>
        <w:ind w:firstLine="708"/>
        <w:jc w:val="both"/>
        <w:rPr>
          <w:rFonts w:cstheme="minorHAnsi"/>
          <w:sz w:val="24"/>
          <w:szCs w:val="24"/>
        </w:rPr>
      </w:pPr>
      <w:r w:rsidRPr="00640A47">
        <w:rPr>
          <w:rFonts w:cstheme="minorHAnsi"/>
          <w:sz w:val="24"/>
          <w:szCs w:val="24"/>
        </w:rPr>
        <w:t xml:space="preserve">Siguiendo el modelo que proporciona el </w:t>
      </w:r>
      <w:proofErr w:type="spellStart"/>
      <w:r w:rsidRPr="00640A47">
        <w:rPr>
          <w:rFonts w:cstheme="minorHAnsi"/>
          <w:i/>
          <w:sz w:val="24"/>
          <w:szCs w:val="24"/>
        </w:rPr>
        <w:t>Uniform</w:t>
      </w:r>
      <w:proofErr w:type="spellEnd"/>
      <w:r w:rsidRPr="00640A47">
        <w:rPr>
          <w:rFonts w:cstheme="minorHAnsi"/>
          <w:i/>
          <w:sz w:val="24"/>
          <w:szCs w:val="24"/>
        </w:rPr>
        <w:t xml:space="preserve"> </w:t>
      </w:r>
      <w:proofErr w:type="spellStart"/>
      <w:r w:rsidRPr="00640A47">
        <w:rPr>
          <w:rFonts w:cstheme="minorHAnsi"/>
          <w:i/>
          <w:sz w:val="24"/>
          <w:szCs w:val="24"/>
        </w:rPr>
        <w:t>Probate</w:t>
      </w:r>
      <w:proofErr w:type="spellEnd"/>
      <w:r w:rsidRPr="00640A47">
        <w:rPr>
          <w:rFonts w:cstheme="minorHAnsi"/>
          <w:i/>
          <w:sz w:val="24"/>
          <w:szCs w:val="24"/>
        </w:rPr>
        <w:t xml:space="preserve"> </w:t>
      </w:r>
      <w:proofErr w:type="spellStart"/>
      <w:r w:rsidRPr="00640A47">
        <w:rPr>
          <w:rFonts w:cstheme="minorHAnsi"/>
          <w:i/>
          <w:sz w:val="24"/>
          <w:szCs w:val="24"/>
        </w:rPr>
        <w:t>Code</w:t>
      </w:r>
      <w:proofErr w:type="spellEnd"/>
      <w:r w:rsidRPr="00640A47">
        <w:rPr>
          <w:rFonts w:cstheme="minorHAnsi"/>
          <w:i/>
          <w:sz w:val="24"/>
          <w:szCs w:val="24"/>
        </w:rPr>
        <w:t xml:space="preserve">, </w:t>
      </w:r>
      <w:r w:rsidRPr="00640A47">
        <w:rPr>
          <w:rFonts w:cstheme="minorHAnsi"/>
          <w:sz w:val="24"/>
          <w:szCs w:val="24"/>
        </w:rPr>
        <w:t xml:space="preserve">es razonable que antes de que la herencia se difiera al Estado, sea llamado como heredero el hijo o hija del cónyuge o conviviente, y a la inversa. Por tenue que sea el vínculo afectivo </w:t>
      </w:r>
      <w:r w:rsidRPr="00640A47">
        <w:rPr>
          <w:rFonts w:cstheme="minorHAnsi"/>
          <w:sz w:val="24"/>
          <w:szCs w:val="24"/>
        </w:rPr>
        <w:lastRenderedPageBreak/>
        <w:t>entre el padrastro o madrastra y el hijastro o hijastra, la sucesión del Estado se produce cuando no hay ni cónyuge ni parientes para evitar</w:t>
      </w:r>
      <w:r w:rsidR="007D1093" w:rsidRPr="00640A47">
        <w:rPr>
          <w:rFonts w:cstheme="minorHAnsi"/>
          <w:sz w:val="24"/>
          <w:szCs w:val="24"/>
        </w:rPr>
        <w:t xml:space="preserve"> que los bienes queden vacantes, y por ello es preferible que suceda quien carece de vínculo de parentesco pero es más cercano en el hipotético afecto del causante como consecuencia de la convivencia</w:t>
      </w:r>
      <w:r w:rsidR="00F11755" w:rsidRPr="00640A47">
        <w:rPr>
          <w:rFonts w:cstheme="minorHAnsi"/>
          <w:sz w:val="24"/>
          <w:szCs w:val="24"/>
        </w:rPr>
        <w:t>, que no el Estado</w:t>
      </w:r>
      <w:r w:rsidR="007D1093" w:rsidRPr="00640A47">
        <w:rPr>
          <w:rFonts w:cstheme="minorHAnsi"/>
          <w:sz w:val="24"/>
          <w:szCs w:val="24"/>
        </w:rPr>
        <w:t>.</w:t>
      </w:r>
    </w:p>
    <w:p w:rsidR="007D1093" w:rsidRPr="00640A47" w:rsidRDefault="007D1093" w:rsidP="00640A47">
      <w:pPr>
        <w:spacing w:line="312" w:lineRule="auto"/>
        <w:jc w:val="both"/>
        <w:rPr>
          <w:rFonts w:cstheme="minorHAnsi"/>
          <w:sz w:val="24"/>
          <w:szCs w:val="24"/>
        </w:rPr>
      </w:pPr>
      <w:r w:rsidRPr="00640A47">
        <w:rPr>
          <w:rFonts w:cstheme="minorHAnsi"/>
          <w:sz w:val="24"/>
          <w:szCs w:val="24"/>
        </w:rPr>
        <w:tab/>
      </w:r>
      <w:r w:rsidR="005D6BC9" w:rsidRPr="00640A47">
        <w:rPr>
          <w:rFonts w:cstheme="minorHAnsi"/>
          <w:sz w:val="24"/>
          <w:szCs w:val="24"/>
        </w:rPr>
        <w:t>Ahora bien, si la conviv</w:t>
      </w:r>
      <w:r w:rsidRPr="00640A47">
        <w:rPr>
          <w:rFonts w:cstheme="minorHAnsi"/>
          <w:sz w:val="24"/>
          <w:szCs w:val="24"/>
        </w:rPr>
        <w:t>e</w:t>
      </w:r>
      <w:r w:rsidR="005D6BC9" w:rsidRPr="00640A47">
        <w:rPr>
          <w:rFonts w:cstheme="minorHAnsi"/>
          <w:sz w:val="24"/>
          <w:szCs w:val="24"/>
        </w:rPr>
        <w:t>ncia es cualificada, porque ha durado un tiempo que pueda considerarse como significativo de la existencia de lazos afectivos como los que se dan en la filiación por naturaleza, entonces cabría, por lo menos, situar al hijastro o hijastra –</w:t>
      </w:r>
      <w:r w:rsidR="00F11755" w:rsidRPr="00640A47">
        <w:rPr>
          <w:rFonts w:cstheme="minorHAnsi"/>
          <w:sz w:val="24"/>
          <w:szCs w:val="24"/>
        </w:rPr>
        <w:t>y</w:t>
      </w:r>
      <w:r w:rsidR="005D6BC9" w:rsidRPr="00640A47">
        <w:rPr>
          <w:rFonts w:cstheme="minorHAnsi"/>
          <w:sz w:val="24"/>
          <w:szCs w:val="24"/>
        </w:rPr>
        <w:t xml:space="preserve"> al padrastro o madrastra– de manera preferente a los colaterales.</w:t>
      </w:r>
      <w:r w:rsidR="00747A91" w:rsidRPr="00640A47">
        <w:rPr>
          <w:rFonts w:cstheme="minorHAnsi"/>
          <w:sz w:val="24"/>
          <w:szCs w:val="24"/>
        </w:rPr>
        <w:t xml:space="preserve"> En el actual marco legal, colocarlo en un lugar más preferente plantearía</w:t>
      </w:r>
      <w:r w:rsidR="00FA0D61" w:rsidRPr="00640A47">
        <w:rPr>
          <w:rFonts w:cstheme="minorHAnsi"/>
          <w:sz w:val="24"/>
          <w:szCs w:val="24"/>
        </w:rPr>
        <w:t xml:space="preserve"> problemas de coordinación con otros artículos. En efecto, tanto en el CC como en el </w:t>
      </w:r>
      <w:proofErr w:type="spellStart"/>
      <w:r w:rsidR="00FA0D61" w:rsidRPr="00640A47">
        <w:rPr>
          <w:rFonts w:cstheme="minorHAnsi"/>
          <w:sz w:val="24"/>
          <w:szCs w:val="24"/>
        </w:rPr>
        <w:t>CCCat</w:t>
      </w:r>
      <w:proofErr w:type="spellEnd"/>
      <w:r w:rsidR="00FA0D61" w:rsidRPr="00640A47">
        <w:rPr>
          <w:rFonts w:cstheme="minorHAnsi"/>
          <w:sz w:val="24"/>
          <w:szCs w:val="24"/>
        </w:rPr>
        <w:t xml:space="preserve"> hemos comprobado que hay normas que pretenden evitar el posible conflicto entre los hijos del causante y los de su cónyuge o conviviente, en materia de conmutación del usufructo vidual (art. CC) o de renuncia a la herencia intestada para que sea heredero el cónyuge o conviviente (art. </w:t>
      </w:r>
      <w:proofErr w:type="spellStart"/>
      <w:r w:rsidR="00FA0D61" w:rsidRPr="00640A47">
        <w:rPr>
          <w:rFonts w:cstheme="minorHAnsi"/>
          <w:sz w:val="24"/>
          <w:szCs w:val="24"/>
        </w:rPr>
        <w:t>CCCat</w:t>
      </w:r>
      <w:proofErr w:type="spellEnd"/>
      <w:r w:rsidR="00FA0D61" w:rsidRPr="00640A47">
        <w:rPr>
          <w:rFonts w:cstheme="minorHAnsi"/>
          <w:sz w:val="24"/>
          <w:szCs w:val="24"/>
        </w:rPr>
        <w:t>).</w:t>
      </w:r>
      <w:r w:rsidR="00106AAE" w:rsidRPr="00640A47">
        <w:rPr>
          <w:rFonts w:cstheme="minorHAnsi"/>
          <w:sz w:val="24"/>
          <w:szCs w:val="24"/>
        </w:rPr>
        <w:t xml:space="preserve"> Este plazo debería ser, como mínimo, de dos años, que es el plazo que el art. 236-15.3 </w:t>
      </w:r>
      <w:proofErr w:type="spellStart"/>
      <w:r w:rsidR="00106AAE" w:rsidRPr="00640A47">
        <w:rPr>
          <w:rFonts w:cstheme="minorHAnsi"/>
          <w:sz w:val="24"/>
          <w:szCs w:val="24"/>
        </w:rPr>
        <w:t>CCCat</w:t>
      </w:r>
      <w:proofErr w:type="spellEnd"/>
      <w:r w:rsidR="00106AAE" w:rsidRPr="00640A47">
        <w:rPr>
          <w:rFonts w:cstheme="minorHAnsi"/>
          <w:sz w:val="24"/>
          <w:szCs w:val="24"/>
        </w:rPr>
        <w:t xml:space="preserve"> estipula para que el padrastro o madrastra pueda obtener un régimen de relación con el hijastro o hijastra.</w:t>
      </w:r>
    </w:p>
    <w:p w:rsidR="00106AAE" w:rsidRPr="00640A47" w:rsidRDefault="00106AAE" w:rsidP="00640A47">
      <w:pPr>
        <w:spacing w:line="312" w:lineRule="auto"/>
        <w:jc w:val="both"/>
        <w:rPr>
          <w:rFonts w:cstheme="minorHAnsi"/>
          <w:sz w:val="24"/>
          <w:szCs w:val="24"/>
        </w:rPr>
      </w:pPr>
      <w:r w:rsidRPr="00640A47">
        <w:rPr>
          <w:rFonts w:cstheme="minorHAnsi"/>
          <w:sz w:val="24"/>
          <w:szCs w:val="24"/>
        </w:rPr>
        <w:tab/>
        <w:t xml:space="preserve">Solo si se dan las circunstancias del art. 236-15.2 </w:t>
      </w:r>
      <w:proofErr w:type="spellStart"/>
      <w:r w:rsidRPr="00640A47">
        <w:rPr>
          <w:rFonts w:cstheme="minorHAnsi"/>
          <w:sz w:val="24"/>
          <w:szCs w:val="24"/>
        </w:rPr>
        <w:t>CCCat</w:t>
      </w:r>
      <w:proofErr w:type="spellEnd"/>
      <w:r w:rsidRPr="00640A47">
        <w:rPr>
          <w:rFonts w:cstheme="minorHAnsi"/>
          <w:sz w:val="24"/>
          <w:szCs w:val="24"/>
        </w:rPr>
        <w:t xml:space="preserve">, es decir, si la autoridad judicial, existiendo el otro progenitor por naturaleza, concede la guarda al padrastro o madrastra sobre el hijastro o hijastra, </w:t>
      </w:r>
      <w:r w:rsidR="00D71000" w:rsidRPr="00640A47">
        <w:rPr>
          <w:rFonts w:cstheme="minorHAnsi"/>
          <w:sz w:val="24"/>
          <w:szCs w:val="24"/>
        </w:rPr>
        <w:t xml:space="preserve">y en estas circunstancias han seguido </w:t>
      </w:r>
      <w:proofErr w:type="spellStart"/>
      <w:r w:rsidR="00D71000" w:rsidRPr="00640A47">
        <w:rPr>
          <w:rFonts w:cstheme="minorHAnsi"/>
          <w:sz w:val="24"/>
          <w:szCs w:val="24"/>
        </w:rPr>
        <w:t>convoviendo</w:t>
      </w:r>
      <w:proofErr w:type="spellEnd"/>
      <w:r w:rsidR="00D71000" w:rsidRPr="00640A47">
        <w:rPr>
          <w:rFonts w:cstheme="minorHAnsi"/>
          <w:sz w:val="24"/>
          <w:szCs w:val="24"/>
        </w:rPr>
        <w:t xml:space="preserve"> durante otro plazo –como mínimo, dos años más–, </w:t>
      </w:r>
      <w:r w:rsidRPr="00640A47">
        <w:rPr>
          <w:rFonts w:cstheme="minorHAnsi"/>
          <w:sz w:val="24"/>
          <w:szCs w:val="24"/>
        </w:rPr>
        <w:t>estaría justificado, en el marco legislativo vigente, que aquel o aquella y este o esta fueran equiparados al progenitor o al hijo o hija y ocuparan tal lugar en los órdenes de la sucesión intestada, aun concurriendo con hijos por naturaleza o adoptivos.</w:t>
      </w:r>
    </w:p>
    <w:p w:rsidR="00EF701F" w:rsidRPr="00640A47" w:rsidRDefault="00EF701F" w:rsidP="00640A47">
      <w:pPr>
        <w:spacing w:line="312" w:lineRule="auto"/>
        <w:jc w:val="both"/>
        <w:rPr>
          <w:rFonts w:cstheme="minorHAnsi"/>
          <w:sz w:val="24"/>
          <w:szCs w:val="24"/>
        </w:rPr>
      </w:pPr>
      <w:r w:rsidRPr="00640A47">
        <w:rPr>
          <w:rFonts w:cstheme="minorHAnsi"/>
          <w:sz w:val="24"/>
          <w:szCs w:val="24"/>
        </w:rPr>
        <w:tab/>
      </w:r>
      <w:r w:rsidR="00D71000" w:rsidRPr="00640A47">
        <w:rPr>
          <w:rFonts w:cstheme="minorHAnsi"/>
          <w:sz w:val="24"/>
          <w:szCs w:val="24"/>
        </w:rPr>
        <w:t xml:space="preserve">Con esta propuesta, no nos alejamos del sistema de factores que se propone en Estados Unidos por algunos autores, pero se reduce el subjetivismo, por cuanto se trata de factores </w:t>
      </w:r>
      <w:r w:rsidR="003512DF" w:rsidRPr="00640A47">
        <w:rPr>
          <w:rFonts w:cstheme="minorHAnsi"/>
          <w:sz w:val="24"/>
          <w:szCs w:val="24"/>
        </w:rPr>
        <w:t xml:space="preserve">que descansan sobre hechos </w:t>
      </w:r>
      <w:r w:rsidR="00D71000" w:rsidRPr="00640A47">
        <w:rPr>
          <w:rFonts w:cstheme="minorHAnsi"/>
          <w:sz w:val="24"/>
          <w:szCs w:val="24"/>
        </w:rPr>
        <w:t>objetivos. En efecto, el resultado definitivo de la propuesta que formulamos, basado en la convivencia con el hijastro o hijastra para preceder en la sucesión al Estado, en la precedencia a los colaterales si la convivencia es cualificada por un plazo de convivencia, y en la equiparación con los hijos por naturaleza o adoptivos si la autoridad judicial ha otorgado la guarda y se persiste en la convivenc</w:t>
      </w:r>
      <w:r w:rsidR="00A4318B" w:rsidRPr="00640A47">
        <w:rPr>
          <w:rFonts w:cstheme="minorHAnsi"/>
          <w:sz w:val="24"/>
          <w:szCs w:val="24"/>
        </w:rPr>
        <w:t>ia, no supone sino una objetivación del sistema de factores</w:t>
      </w:r>
      <w:r w:rsidR="00F11755" w:rsidRPr="00640A47">
        <w:rPr>
          <w:rFonts w:cstheme="minorHAnsi"/>
          <w:sz w:val="24"/>
          <w:szCs w:val="24"/>
        </w:rPr>
        <w:t>, es decir, los hijastros e hijastras y los padrastros y madrastras sucederían abintestato siempre que</w:t>
      </w:r>
      <w:r w:rsidR="00A4318B" w:rsidRPr="00640A47">
        <w:rPr>
          <w:rFonts w:cstheme="minorHAnsi"/>
          <w:sz w:val="24"/>
          <w:szCs w:val="24"/>
        </w:rPr>
        <w:t>:</w:t>
      </w:r>
    </w:p>
    <w:p w:rsidR="00A4318B" w:rsidRPr="00640A47" w:rsidRDefault="00F11755" w:rsidP="00640A47">
      <w:pPr>
        <w:spacing w:line="312" w:lineRule="auto"/>
        <w:jc w:val="both"/>
        <w:rPr>
          <w:rFonts w:cstheme="minorHAnsi"/>
          <w:sz w:val="24"/>
          <w:szCs w:val="24"/>
        </w:rPr>
      </w:pPr>
      <w:r w:rsidRPr="00640A47">
        <w:rPr>
          <w:rFonts w:cstheme="minorHAnsi"/>
          <w:sz w:val="24"/>
          <w:szCs w:val="24"/>
        </w:rPr>
        <w:lastRenderedPageBreak/>
        <w:t>A) Se trate de</w:t>
      </w:r>
      <w:r w:rsidR="00A4318B" w:rsidRPr="00640A47">
        <w:rPr>
          <w:rFonts w:cstheme="minorHAnsi"/>
          <w:sz w:val="24"/>
          <w:szCs w:val="24"/>
        </w:rPr>
        <w:t xml:space="preserve"> hijos del cónyuge o la pareja de hecho, </w:t>
      </w:r>
      <w:r w:rsidRPr="00640A47">
        <w:rPr>
          <w:rFonts w:cstheme="minorHAnsi"/>
          <w:sz w:val="24"/>
          <w:szCs w:val="24"/>
        </w:rPr>
        <w:t>que hubieren convivido</w:t>
      </w:r>
      <w:r w:rsidR="00403700" w:rsidRPr="00640A47">
        <w:rPr>
          <w:rFonts w:cstheme="minorHAnsi"/>
          <w:sz w:val="24"/>
          <w:szCs w:val="24"/>
        </w:rPr>
        <w:t>, habiéndose iniciado la convivencia en la minoría de edad del hijastro o hijastra</w:t>
      </w:r>
      <w:r w:rsidR="00A4318B" w:rsidRPr="00640A47">
        <w:rPr>
          <w:rFonts w:cstheme="minorHAnsi"/>
          <w:sz w:val="24"/>
          <w:szCs w:val="24"/>
        </w:rPr>
        <w:t>;</w:t>
      </w:r>
    </w:p>
    <w:p w:rsidR="00A4318B" w:rsidRPr="00640A47" w:rsidRDefault="00A4318B"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B) El padrastro o la madrastra ha</w:t>
      </w:r>
      <w:r w:rsidR="00F11755" w:rsidRPr="00640A47">
        <w:rPr>
          <w:rFonts w:cstheme="minorHAnsi"/>
          <w:color w:val="000000" w:themeColor="text1"/>
          <w:sz w:val="24"/>
          <w:szCs w:val="24"/>
        </w:rPr>
        <w:t>ya</w:t>
      </w:r>
      <w:r w:rsidRPr="00640A47">
        <w:rPr>
          <w:rFonts w:cstheme="minorHAnsi"/>
          <w:color w:val="000000" w:themeColor="text1"/>
          <w:sz w:val="24"/>
          <w:szCs w:val="24"/>
        </w:rPr>
        <w:t>n asumido la posición de progenitores de ese hijastro, como si fuera su propio hijo</w:t>
      </w:r>
      <w:r w:rsidR="00FF391C" w:rsidRPr="00640A47">
        <w:rPr>
          <w:rFonts w:cstheme="minorHAnsi"/>
          <w:color w:val="000000" w:themeColor="text1"/>
          <w:sz w:val="24"/>
          <w:szCs w:val="24"/>
        </w:rPr>
        <w:t xml:space="preserve"> o hija</w:t>
      </w:r>
      <w:r w:rsidRPr="00640A47">
        <w:rPr>
          <w:rFonts w:cstheme="minorHAnsi"/>
          <w:color w:val="000000" w:themeColor="text1"/>
          <w:sz w:val="24"/>
          <w:szCs w:val="24"/>
        </w:rPr>
        <w:t xml:space="preserve">, lo que justifica la preferencia a los parientes más distantes o </w:t>
      </w:r>
      <w:r w:rsidR="00403700" w:rsidRPr="00640A47">
        <w:rPr>
          <w:rFonts w:cstheme="minorHAnsi"/>
          <w:color w:val="000000" w:themeColor="text1"/>
          <w:sz w:val="24"/>
          <w:szCs w:val="24"/>
        </w:rPr>
        <w:t>incluso el trato equiparado al de un hijo o hija.</w:t>
      </w:r>
    </w:p>
    <w:p w:rsidR="00403700" w:rsidRPr="00640A47" w:rsidRDefault="00403700"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 xml:space="preserve">Puesto que la guarda </w:t>
      </w:r>
      <w:r w:rsidR="009027E6" w:rsidRPr="00640A47">
        <w:rPr>
          <w:rFonts w:cstheme="minorHAnsi"/>
          <w:color w:val="000000" w:themeColor="text1"/>
          <w:sz w:val="24"/>
          <w:szCs w:val="24"/>
        </w:rPr>
        <w:t>ya conlleva los deberes inherentes a la potestad parental, tendríamos una manera más directa de probar que el causante y el hijo o hija de su cónyuge o conviviente se han tratado a manera de padre o madre e hijo o hija, sin tener que acudir a la siempre difícil prueba de elementos intencionales y de sentimientos</w:t>
      </w:r>
      <w:r w:rsidR="009027E6" w:rsidRPr="00640A47">
        <w:rPr>
          <w:rStyle w:val="Refdenotaalpie"/>
          <w:rFonts w:cstheme="minorHAnsi"/>
          <w:color w:val="000000" w:themeColor="text1"/>
          <w:sz w:val="24"/>
          <w:szCs w:val="24"/>
        </w:rPr>
        <w:footnoteReference w:id="38"/>
      </w:r>
      <w:r w:rsidR="009027E6" w:rsidRPr="00640A47">
        <w:rPr>
          <w:rFonts w:cstheme="minorHAnsi"/>
          <w:color w:val="000000" w:themeColor="text1"/>
          <w:sz w:val="24"/>
          <w:szCs w:val="24"/>
        </w:rPr>
        <w:t>.</w:t>
      </w:r>
    </w:p>
    <w:p w:rsidR="0079519C" w:rsidRPr="00F72D1E" w:rsidRDefault="00511B10" w:rsidP="00640A47">
      <w:pPr>
        <w:spacing w:line="312" w:lineRule="auto"/>
        <w:jc w:val="both"/>
        <w:rPr>
          <w:rFonts w:cstheme="minorHAnsi"/>
          <w:b/>
          <w:i/>
          <w:color w:val="000000" w:themeColor="text1"/>
          <w:sz w:val="24"/>
          <w:szCs w:val="24"/>
        </w:rPr>
      </w:pPr>
      <w:r w:rsidRPr="00F72D1E">
        <w:rPr>
          <w:rFonts w:cstheme="minorHAnsi"/>
          <w:b/>
          <w:i/>
          <w:color w:val="000000" w:themeColor="text1"/>
          <w:sz w:val="24"/>
          <w:szCs w:val="24"/>
        </w:rPr>
        <w:t>4.</w:t>
      </w:r>
      <w:r w:rsidR="0079519C" w:rsidRPr="00F72D1E">
        <w:rPr>
          <w:rFonts w:cstheme="minorHAnsi"/>
          <w:b/>
          <w:i/>
          <w:color w:val="000000" w:themeColor="text1"/>
          <w:sz w:val="24"/>
          <w:szCs w:val="24"/>
        </w:rPr>
        <w:t>2. La legítima</w:t>
      </w:r>
    </w:p>
    <w:p w:rsidR="0079519C" w:rsidRPr="00640A47" w:rsidRDefault="0079519C"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Reconocer derechos legitimarios a los hijastros e hijastras, o a sus padrastros o madrastras en aquellos ordenamientos jurídicos que mantienen la legítima de los progenitores, es una tarea harto más compleja.</w:t>
      </w:r>
      <w:r w:rsidR="007C31C7" w:rsidRPr="00640A47">
        <w:rPr>
          <w:rFonts w:cstheme="minorHAnsi"/>
          <w:color w:val="000000" w:themeColor="text1"/>
          <w:sz w:val="24"/>
          <w:szCs w:val="24"/>
        </w:rPr>
        <w:t xml:space="preserve"> Si los tipos de familia reconstituida son diversos, también lo son los distintos sistemas legitimarios, en particular los que coexisten en España. Y en unos la inserción de los hijastros o hijastras plantea dificultades mayores. En efecto, en aquellos sistemas en que la legítima se materializa en un derecho a una porción de bienes hereditarios, la introducción de los hijastros o hijastras puede dar lugar a conflictos insolubles entre hermanastros que se convertirían en cotitul</w:t>
      </w:r>
      <w:r w:rsidR="00DE6162" w:rsidRPr="00640A47">
        <w:rPr>
          <w:rFonts w:cstheme="minorHAnsi"/>
          <w:color w:val="000000" w:themeColor="text1"/>
          <w:sz w:val="24"/>
          <w:szCs w:val="24"/>
        </w:rPr>
        <w:t>ares de los bienes hereditarios, si entre dichos hermanastros no se han originado verdaderos lazos afectivos</w:t>
      </w:r>
      <w:r w:rsidR="00B41EDB" w:rsidRPr="00640A47">
        <w:rPr>
          <w:rFonts w:cstheme="minorHAnsi"/>
          <w:color w:val="000000" w:themeColor="text1"/>
          <w:sz w:val="24"/>
          <w:szCs w:val="24"/>
        </w:rPr>
        <w:t xml:space="preserve">. Si, como subrayaban los juristas del derecho común, </w:t>
      </w:r>
      <w:proofErr w:type="spellStart"/>
      <w:r w:rsidR="00B41EDB" w:rsidRPr="00640A47">
        <w:rPr>
          <w:rFonts w:cstheme="minorHAnsi"/>
          <w:i/>
          <w:color w:val="000000" w:themeColor="text1"/>
          <w:sz w:val="24"/>
          <w:szCs w:val="24"/>
        </w:rPr>
        <w:t>communio</w:t>
      </w:r>
      <w:proofErr w:type="spellEnd"/>
      <w:r w:rsidR="00B41EDB" w:rsidRPr="00640A47">
        <w:rPr>
          <w:rFonts w:cstheme="minorHAnsi"/>
          <w:i/>
          <w:color w:val="000000" w:themeColor="text1"/>
          <w:sz w:val="24"/>
          <w:szCs w:val="24"/>
        </w:rPr>
        <w:t xml:space="preserve"> </w:t>
      </w:r>
      <w:proofErr w:type="spellStart"/>
      <w:r w:rsidR="00B41EDB" w:rsidRPr="00640A47">
        <w:rPr>
          <w:rFonts w:cstheme="minorHAnsi"/>
          <w:i/>
          <w:color w:val="000000" w:themeColor="text1"/>
          <w:sz w:val="24"/>
          <w:szCs w:val="24"/>
        </w:rPr>
        <w:t>pariat</w:t>
      </w:r>
      <w:proofErr w:type="spellEnd"/>
      <w:r w:rsidR="00B41EDB" w:rsidRPr="00640A47">
        <w:rPr>
          <w:rFonts w:cstheme="minorHAnsi"/>
          <w:i/>
          <w:color w:val="000000" w:themeColor="text1"/>
          <w:sz w:val="24"/>
          <w:szCs w:val="24"/>
        </w:rPr>
        <w:t xml:space="preserve"> discordias </w:t>
      </w:r>
      <w:proofErr w:type="spellStart"/>
      <w:r w:rsidR="00B41EDB" w:rsidRPr="00640A47">
        <w:rPr>
          <w:rFonts w:cstheme="minorHAnsi"/>
          <w:i/>
          <w:color w:val="000000" w:themeColor="text1"/>
          <w:sz w:val="24"/>
          <w:szCs w:val="24"/>
        </w:rPr>
        <w:t>etiam</w:t>
      </w:r>
      <w:proofErr w:type="spellEnd"/>
      <w:r w:rsidR="00B41EDB" w:rsidRPr="00640A47">
        <w:rPr>
          <w:rFonts w:cstheme="minorHAnsi"/>
          <w:i/>
          <w:color w:val="000000" w:themeColor="text1"/>
          <w:sz w:val="24"/>
          <w:szCs w:val="24"/>
        </w:rPr>
        <w:t xml:space="preserve"> inter </w:t>
      </w:r>
      <w:proofErr w:type="spellStart"/>
      <w:r w:rsidR="00B41EDB" w:rsidRPr="00640A47">
        <w:rPr>
          <w:rFonts w:cstheme="minorHAnsi"/>
          <w:i/>
          <w:color w:val="000000" w:themeColor="text1"/>
          <w:sz w:val="24"/>
          <w:szCs w:val="24"/>
        </w:rPr>
        <w:t>dilectissimos</w:t>
      </w:r>
      <w:proofErr w:type="spellEnd"/>
      <w:r w:rsidR="00B41EDB" w:rsidRPr="00640A47">
        <w:rPr>
          <w:rFonts w:cstheme="minorHAnsi"/>
          <w:i/>
          <w:color w:val="000000" w:themeColor="text1"/>
          <w:sz w:val="24"/>
          <w:szCs w:val="24"/>
        </w:rPr>
        <w:t xml:space="preserve"> </w:t>
      </w:r>
      <w:proofErr w:type="spellStart"/>
      <w:r w:rsidR="00B41EDB" w:rsidRPr="00640A47">
        <w:rPr>
          <w:rFonts w:cstheme="minorHAnsi"/>
          <w:i/>
          <w:color w:val="000000" w:themeColor="text1"/>
          <w:sz w:val="24"/>
          <w:szCs w:val="24"/>
        </w:rPr>
        <w:t>fratres</w:t>
      </w:r>
      <w:proofErr w:type="spellEnd"/>
      <w:r w:rsidR="00BB4C87" w:rsidRPr="00640A47">
        <w:rPr>
          <w:rStyle w:val="Refdenotaalpie"/>
          <w:rFonts w:cstheme="minorHAnsi"/>
          <w:color w:val="000000" w:themeColor="text1"/>
          <w:sz w:val="24"/>
          <w:szCs w:val="24"/>
        </w:rPr>
        <w:footnoteReference w:id="39"/>
      </w:r>
      <w:r w:rsidR="00B41EDB" w:rsidRPr="00640A47">
        <w:rPr>
          <w:rFonts w:cstheme="minorHAnsi"/>
          <w:i/>
          <w:color w:val="000000" w:themeColor="text1"/>
          <w:sz w:val="24"/>
          <w:szCs w:val="24"/>
        </w:rPr>
        <w:t xml:space="preserve">, </w:t>
      </w:r>
      <w:r w:rsidR="00B41EDB" w:rsidRPr="00640A47">
        <w:rPr>
          <w:rFonts w:cstheme="minorHAnsi"/>
          <w:color w:val="000000" w:themeColor="text1"/>
          <w:sz w:val="24"/>
          <w:szCs w:val="24"/>
        </w:rPr>
        <w:t xml:space="preserve">qué puede acontecer </w:t>
      </w:r>
      <w:r w:rsidR="00BB4C87" w:rsidRPr="00640A47">
        <w:rPr>
          <w:rFonts w:cstheme="minorHAnsi"/>
          <w:color w:val="000000" w:themeColor="text1"/>
          <w:sz w:val="24"/>
          <w:szCs w:val="24"/>
        </w:rPr>
        <w:t xml:space="preserve">entre </w:t>
      </w:r>
      <w:r w:rsidR="00FF391C" w:rsidRPr="00640A47">
        <w:rPr>
          <w:rFonts w:cstheme="minorHAnsi"/>
          <w:color w:val="000000" w:themeColor="text1"/>
          <w:sz w:val="24"/>
          <w:szCs w:val="24"/>
        </w:rPr>
        <w:t>hermanos que</w:t>
      </w:r>
      <w:r w:rsidR="00BB4C87" w:rsidRPr="00640A47">
        <w:rPr>
          <w:rFonts w:cstheme="minorHAnsi"/>
          <w:color w:val="000000" w:themeColor="text1"/>
          <w:sz w:val="24"/>
          <w:szCs w:val="24"/>
        </w:rPr>
        <w:t xml:space="preserve"> no comparten el progenitor. Por el contrario, no se generaría tanta </w:t>
      </w:r>
      <w:r w:rsidR="00FF391C" w:rsidRPr="00640A47">
        <w:rPr>
          <w:rFonts w:cstheme="minorHAnsi"/>
          <w:color w:val="000000" w:themeColor="text1"/>
          <w:sz w:val="24"/>
          <w:szCs w:val="24"/>
        </w:rPr>
        <w:t>dificultad</w:t>
      </w:r>
      <w:r w:rsidR="00BB4C87" w:rsidRPr="00640A47">
        <w:rPr>
          <w:rFonts w:cstheme="minorHAnsi"/>
          <w:color w:val="000000" w:themeColor="text1"/>
          <w:sz w:val="24"/>
          <w:szCs w:val="24"/>
        </w:rPr>
        <w:t xml:space="preserve"> en un sistema en que la legítima </w:t>
      </w:r>
      <w:r w:rsidR="00821453" w:rsidRPr="00640A47">
        <w:rPr>
          <w:rFonts w:cstheme="minorHAnsi"/>
          <w:color w:val="000000" w:themeColor="text1"/>
          <w:sz w:val="24"/>
          <w:szCs w:val="24"/>
        </w:rPr>
        <w:t>consiste en</w:t>
      </w:r>
      <w:r w:rsidR="00BB4C87" w:rsidRPr="00640A47">
        <w:rPr>
          <w:rFonts w:cstheme="minorHAnsi"/>
          <w:color w:val="000000" w:themeColor="text1"/>
          <w:sz w:val="24"/>
          <w:szCs w:val="24"/>
        </w:rPr>
        <w:t xml:space="preserve"> un derecho de crédito aut</w:t>
      </w:r>
      <w:r w:rsidR="00AB5868" w:rsidRPr="00640A47">
        <w:rPr>
          <w:rFonts w:cstheme="minorHAnsi"/>
          <w:color w:val="000000" w:themeColor="text1"/>
          <w:sz w:val="24"/>
          <w:szCs w:val="24"/>
        </w:rPr>
        <w:t>óno</w:t>
      </w:r>
      <w:r w:rsidR="00BB4C87" w:rsidRPr="00640A47">
        <w:rPr>
          <w:rFonts w:cstheme="minorHAnsi"/>
          <w:color w:val="000000" w:themeColor="text1"/>
          <w:sz w:val="24"/>
          <w:szCs w:val="24"/>
        </w:rPr>
        <w:t>mo de cada legitimario contra la herencia.</w:t>
      </w:r>
      <w:r w:rsidR="00AB5868" w:rsidRPr="00640A47">
        <w:rPr>
          <w:rFonts w:cstheme="minorHAnsi"/>
          <w:color w:val="000000" w:themeColor="text1"/>
          <w:sz w:val="24"/>
          <w:szCs w:val="24"/>
        </w:rPr>
        <w:t xml:space="preserve"> La probabilidad de disputas seguramente alcanzaría su mínimo en un sistema como el aragonés de legítima colectiva con derecho de alimentos para los legitimarios no preferentes.</w:t>
      </w:r>
    </w:p>
    <w:p w:rsidR="00821453" w:rsidRPr="00640A47" w:rsidRDefault="00821453"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 xml:space="preserve">Salvo en los sistemas de legítima colectiva con otorgamiento de un derecho de alimentos cuando concurran los requisitos para ello, la legítima es una e idéntica para </w:t>
      </w:r>
      <w:r w:rsidRPr="00640A47">
        <w:rPr>
          <w:rFonts w:cstheme="minorHAnsi"/>
          <w:color w:val="000000" w:themeColor="text1"/>
          <w:sz w:val="24"/>
          <w:szCs w:val="24"/>
        </w:rPr>
        <w:lastRenderedPageBreak/>
        <w:t xml:space="preserve">todos los legitimarios. Por supuesto que el Código Civil tiene como seña de identidad a la mejora, pero esta supone una </w:t>
      </w:r>
      <w:proofErr w:type="spellStart"/>
      <w:r w:rsidRPr="00640A47">
        <w:rPr>
          <w:rFonts w:cstheme="minorHAnsi"/>
          <w:color w:val="000000" w:themeColor="text1"/>
          <w:sz w:val="24"/>
          <w:szCs w:val="24"/>
        </w:rPr>
        <w:t>desigualación</w:t>
      </w:r>
      <w:proofErr w:type="spellEnd"/>
      <w:r w:rsidRPr="00640A47">
        <w:rPr>
          <w:rFonts w:cstheme="minorHAnsi"/>
          <w:color w:val="000000" w:themeColor="text1"/>
          <w:sz w:val="24"/>
          <w:szCs w:val="24"/>
        </w:rPr>
        <w:t xml:space="preserve"> entre los legitimarios por arriba, pues por abajo, en cuanto al tercio de legítima estricta concierne, el reparto es igualitario entre todos los legitimarios. Por ello, resulta difícil justificar un derecho legitimario de contenido distinto para una hipotética categoría de legitimarios nueva, los hijastros e hijastras (y los padrastros y madrastras en aquellos derechos civiles que siguen </w:t>
      </w:r>
      <w:r w:rsidR="00FF0849" w:rsidRPr="00640A47">
        <w:rPr>
          <w:rFonts w:cstheme="minorHAnsi"/>
          <w:color w:val="000000" w:themeColor="text1"/>
          <w:sz w:val="24"/>
          <w:szCs w:val="24"/>
        </w:rPr>
        <w:t>concediendo legítima a los ascendientes).</w:t>
      </w:r>
      <w:r w:rsidR="0016062D" w:rsidRPr="00640A47">
        <w:rPr>
          <w:rFonts w:cstheme="minorHAnsi"/>
          <w:color w:val="000000" w:themeColor="text1"/>
          <w:sz w:val="24"/>
          <w:szCs w:val="24"/>
        </w:rPr>
        <w:t xml:space="preserve"> Dos tipos de legítima para distintas categorías de legitimarios no parece una opción deseable sin una modificación radical del sistema legitimario, con la excepción ya indicada de los casos de legítima colectiva.</w:t>
      </w:r>
    </w:p>
    <w:p w:rsidR="0016062D" w:rsidRPr="00640A47" w:rsidRDefault="0016062D"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 xml:space="preserve">A ello debe añadirse una tercera dificultad: salvo en Cataluña, el cónyuge </w:t>
      </w:r>
      <w:r w:rsidR="00E7423F" w:rsidRPr="00640A47">
        <w:rPr>
          <w:rFonts w:cstheme="minorHAnsi"/>
          <w:color w:val="000000" w:themeColor="text1"/>
          <w:sz w:val="24"/>
          <w:szCs w:val="24"/>
        </w:rPr>
        <w:t xml:space="preserve">del causante </w:t>
      </w:r>
      <w:r w:rsidRPr="00640A47">
        <w:rPr>
          <w:rFonts w:cstheme="minorHAnsi"/>
          <w:color w:val="000000" w:themeColor="text1"/>
          <w:sz w:val="24"/>
          <w:szCs w:val="24"/>
        </w:rPr>
        <w:t>es legitimario</w:t>
      </w:r>
      <w:r w:rsidR="00E7423F" w:rsidRPr="00640A47">
        <w:rPr>
          <w:rFonts w:cstheme="minorHAnsi"/>
          <w:color w:val="000000" w:themeColor="text1"/>
          <w:sz w:val="24"/>
          <w:szCs w:val="24"/>
        </w:rPr>
        <w:t xml:space="preserve">, y esa legítima suele consistir en una cuota de la herencia en usufructo. Por lo tanto, pueden concurrir como legitimarios los hijos e hijas del causante y el cónyuge o conviviente de este, aquellos como propietarios en función de su cuota hereditaria, este como usufructuario de una cuota (del tercio de mejora de acuerdo con el art. 834 CC, de la mitad de los bienes conforme al art. 52.1 LDCV o universal según la ley 255 FNN, por citar tres extensiones de la legítima viudal). </w:t>
      </w:r>
      <w:r w:rsidR="008B7188" w:rsidRPr="00640A47">
        <w:rPr>
          <w:rFonts w:cstheme="minorHAnsi"/>
          <w:color w:val="000000" w:themeColor="text1"/>
          <w:sz w:val="24"/>
          <w:szCs w:val="24"/>
        </w:rPr>
        <w:t>Si las relaciones entre hijastros o hijastras y el</w:t>
      </w:r>
      <w:r w:rsidR="00E7423F" w:rsidRPr="00640A47">
        <w:rPr>
          <w:rFonts w:cstheme="minorHAnsi"/>
          <w:color w:val="000000" w:themeColor="text1"/>
          <w:sz w:val="24"/>
          <w:szCs w:val="24"/>
        </w:rPr>
        <w:t xml:space="preserve"> </w:t>
      </w:r>
      <w:r w:rsidR="008B7188" w:rsidRPr="00640A47">
        <w:rPr>
          <w:rFonts w:cstheme="minorHAnsi"/>
          <w:color w:val="000000" w:themeColor="text1"/>
          <w:sz w:val="24"/>
          <w:szCs w:val="24"/>
        </w:rPr>
        <w:t xml:space="preserve">cónyuge o conviviente de su progenitor no eran especialmente afectivas, el </w:t>
      </w:r>
      <w:r w:rsidR="00E7423F" w:rsidRPr="00640A47">
        <w:rPr>
          <w:rFonts w:cstheme="minorHAnsi"/>
          <w:color w:val="000000" w:themeColor="text1"/>
          <w:sz w:val="24"/>
          <w:szCs w:val="24"/>
        </w:rPr>
        <w:t xml:space="preserve">reconocimiento de derechos legitimarios en la familia reconstituida sin más </w:t>
      </w:r>
      <w:r w:rsidR="008B7188" w:rsidRPr="00640A47">
        <w:rPr>
          <w:rFonts w:cstheme="minorHAnsi"/>
          <w:color w:val="000000" w:themeColor="text1"/>
          <w:sz w:val="24"/>
          <w:szCs w:val="24"/>
        </w:rPr>
        <w:t>puede, por consiguiente, devenir una fuente inacabable de conflictos.</w:t>
      </w:r>
      <w:r w:rsidR="00721969" w:rsidRPr="00640A47">
        <w:rPr>
          <w:rFonts w:cstheme="minorHAnsi"/>
          <w:color w:val="000000" w:themeColor="text1"/>
          <w:sz w:val="24"/>
          <w:szCs w:val="24"/>
        </w:rPr>
        <w:t xml:space="preserve"> En particular, pues, y de </w:t>
      </w:r>
      <w:proofErr w:type="spellStart"/>
      <w:r w:rsidR="00721969" w:rsidRPr="00640A47">
        <w:rPr>
          <w:rFonts w:cstheme="minorHAnsi"/>
          <w:i/>
          <w:color w:val="000000" w:themeColor="text1"/>
          <w:sz w:val="24"/>
          <w:szCs w:val="24"/>
        </w:rPr>
        <w:t>lege</w:t>
      </w:r>
      <w:proofErr w:type="spellEnd"/>
      <w:r w:rsidR="00721969" w:rsidRPr="00640A47">
        <w:rPr>
          <w:rFonts w:cstheme="minorHAnsi"/>
          <w:i/>
          <w:color w:val="000000" w:themeColor="text1"/>
          <w:sz w:val="24"/>
          <w:szCs w:val="24"/>
        </w:rPr>
        <w:t xml:space="preserve"> </w:t>
      </w:r>
      <w:proofErr w:type="spellStart"/>
      <w:r w:rsidR="00721969" w:rsidRPr="00640A47">
        <w:rPr>
          <w:rFonts w:cstheme="minorHAnsi"/>
          <w:i/>
          <w:color w:val="000000" w:themeColor="text1"/>
          <w:sz w:val="24"/>
          <w:szCs w:val="24"/>
        </w:rPr>
        <w:t>ferenda</w:t>
      </w:r>
      <w:proofErr w:type="spellEnd"/>
      <w:r w:rsidR="00721969" w:rsidRPr="00640A47">
        <w:rPr>
          <w:rFonts w:cstheme="minorHAnsi"/>
          <w:i/>
          <w:color w:val="000000" w:themeColor="text1"/>
          <w:sz w:val="24"/>
          <w:szCs w:val="24"/>
        </w:rPr>
        <w:t xml:space="preserve">, </w:t>
      </w:r>
      <w:r w:rsidR="00721969" w:rsidRPr="00640A47">
        <w:rPr>
          <w:rFonts w:cstheme="minorHAnsi"/>
          <w:color w:val="000000" w:themeColor="text1"/>
          <w:sz w:val="24"/>
          <w:szCs w:val="24"/>
        </w:rPr>
        <w:t>debe evitarse que concurra a la sucesión el padrastro o madrastra como usufructuario y los hijastros o hijastros como nudo propietarios</w:t>
      </w:r>
      <w:r w:rsidR="00721969" w:rsidRPr="00640A47">
        <w:rPr>
          <w:rStyle w:val="Refdenotaalpie"/>
          <w:rFonts w:cstheme="minorHAnsi"/>
          <w:color w:val="000000" w:themeColor="text1"/>
          <w:sz w:val="24"/>
          <w:szCs w:val="24"/>
        </w:rPr>
        <w:footnoteReference w:id="40"/>
      </w:r>
      <w:r w:rsidR="00721969" w:rsidRPr="00640A47">
        <w:rPr>
          <w:rFonts w:cstheme="minorHAnsi"/>
          <w:color w:val="000000" w:themeColor="text1"/>
          <w:sz w:val="24"/>
          <w:szCs w:val="24"/>
        </w:rPr>
        <w:t>.</w:t>
      </w:r>
    </w:p>
    <w:p w:rsidR="00156942" w:rsidRPr="00640A47" w:rsidRDefault="00156942"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b/>
        <w:t xml:space="preserve">Por estas razones, entendemos que, por lo menos en una primera fase, </w:t>
      </w:r>
      <w:r w:rsidR="00074966" w:rsidRPr="00640A47">
        <w:rPr>
          <w:rFonts w:cstheme="minorHAnsi"/>
          <w:color w:val="000000" w:themeColor="text1"/>
          <w:sz w:val="24"/>
          <w:szCs w:val="24"/>
        </w:rPr>
        <w:t>los derechos legitimarios solo deberían reconocerse a los hijastros e hijastras en la herencia de los padrastros o madrastras (y viceversa) en un supuesto: el de la plena integración, con igualdad de trato con los hijos por naturaleza, en la nueva familia reconstituida del causante.</w:t>
      </w:r>
      <w:r w:rsidR="00F3134D" w:rsidRPr="00640A47">
        <w:rPr>
          <w:rFonts w:cstheme="minorHAnsi"/>
          <w:color w:val="000000" w:themeColor="text1"/>
          <w:sz w:val="24"/>
          <w:szCs w:val="24"/>
        </w:rPr>
        <w:t xml:space="preserve"> En nuestra opinión, creemos que esta plena integración debe objetivarse. Es cierto que últimamente </w:t>
      </w:r>
      <w:r w:rsidR="00E62EA5" w:rsidRPr="00640A47">
        <w:rPr>
          <w:rFonts w:cstheme="minorHAnsi"/>
          <w:color w:val="000000" w:themeColor="text1"/>
          <w:sz w:val="24"/>
          <w:szCs w:val="24"/>
        </w:rPr>
        <w:t xml:space="preserve">se aprecia una tendencia a valorar el comportamiento subjetivo en el derecho de sucesiones, mediante la causa de desheredación del </w:t>
      </w:r>
      <w:proofErr w:type="spellStart"/>
      <w:r w:rsidR="00E62EA5" w:rsidRPr="00640A47">
        <w:rPr>
          <w:rFonts w:cstheme="minorHAnsi"/>
          <w:color w:val="000000" w:themeColor="text1"/>
          <w:sz w:val="24"/>
          <w:szCs w:val="24"/>
        </w:rPr>
        <w:t>CCCat</w:t>
      </w:r>
      <w:proofErr w:type="spellEnd"/>
      <w:r w:rsidR="00E62EA5" w:rsidRPr="00640A47">
        <w:rPr>
          <w:rFonts w:cstheme="minorHAnsi"/>
          <w:color w:val="000000" w:themeColor="text1"/>
          <w:sz w:val="24"/>
          <w:szCs w:val="24"/>
        </w:rPr>
        <w:t xml:space="preserve"> consistente en la falta de trato familiar imputable exclusivamente al legitimario (art. 451-17.e) o la inclusión del maltrato psicológico en el número 3 del art. 855 CC</w:t>
      </w:r>
      <w:r w:rsidR="00E62EA5" w:rsidRPr="00640A47">
        <w:rPr>
          <w:rStyle w:val="Refdenotaalpie"/>
          <w:rFonts w:cstheme="minorHAnsi"/>
          <w:color w:val="000000" w:themeColor="text1"/>
          <w:sz w:val="24"/>
          <w:szCs w:val="24"/>
        </w:rPr>
        <w:footnoteReference w:id="41"/>
      </w:r>
      <w:r w:rsidR="00E62EA5" w:rsidRPr="00640A47">
        <w:rPr>
          <w:rFonts w:cstheme="minorHAnsi"/>
          <w:color w:val="000000" w:themeColor="text1"/>
          <w:sz w:val="24"/>
          <w:szCs w:val="24"/>
        </w:rPr>
        <w:t xml:space="preserve">. Pero si estas causas ya suponen una tensión probatoria y </w:t>
      </w:r>
      <w:r w:rsidR="00E62EA5" w:rsidRPr="00640A47">
        <w:rPr>
          <w:rFonts w:cstheme="minorHAnsi"/>
          <w:color w:val="000000" w:themeColor="text1"/>
          <w:sz w:val="24"/>
          <w:szCs w:val="24"/>
        </w:rPr>
        <w:lastRenderedPageBreak/>
        <w:t>un conjunto de fallos no siempre previsibles, la evidencia de que el hijastro o hijastro ha sido tratado como un “</w:t>
      </w:r>
      <w:proofErr w:type="spellStart"/>
      <w:r w:rsidR="00E62EA5" w:rsidRPr="00640A47">
        <w:rPr>
          <w:rFonts w:cstheme="minorHAnsi"/>
          <w:color w:val="000000" w:themeColor="text1"/>
          <w:sz w:val="24"/>
          <w:szCs w:val="24"/>
        </w:rPr>
        <w:t>child</w:t>
      </w:r>
      <w:proofErr w:type="spellEnd"/>
      <w:r w:rsidR="00E62EA5" w:rsidRPr="00640A47">
        <w:rPr>
          <w:rFonts w:cstheme="minorHAnsi"/>
          <w:color w:val="000000" w:themeColor="text1"/>
          <w:sz w:val="24"/>
          <w:szCs w:val="24"/>
        </w:rPr>
        <w:t xml:space="preserve"> of </w:t>
      </w:r>
      <w:proofErr w:type="spellStart"/>
      <w:r w:rsidR="00E62EA5" w:rsidRPr="00640A47">
        <w:rPr>
          <w:rFonts w:cstheme="minorHAnsi"/>
          <w:color w:val="000000" w:themeColor="text1"/>
          <w:sz w:val="24"/>
          <w:szCs w:val="24"/>
        </w:rPr>
        <w:t>the</w:t>
      </w:r>
      <w:proofErr w:type="spellEnd"/>
      <w:r w:rsidR="00E62EA5" w:rsidRPr="00640A47">
        <w:rPr>
          <w:rFonts w:cstheme="minorHAnsi"/>
          <w:color w:val="000000" w:themeColor="text1"/>
          <w:sz w:val="24"/>
          <w:szCs w:val="24"/>
        </w:rPr>
        <w:t xml:space="preserve"> </w:t>
      </w:r>
      <w:proofErr w:type="spellStart"/>
      <w:r w:rsidR="00E62EA5" w:rsidRPr="00640A47">
        <w:rPr>
          <w:rFonts w:cstheme="minorHAnsi"/>
          <w:color w:val="000000" w:themeColor="text1"/>
          <w:sz w:val="24"/>
          <w:szCs w:val="24"/>
        </w:rPr>
        <w:t>family</w:t>
      </w:r>
      <w:proofErr w:type="spellEnd"/>
      <w:r w:rsidR="00E62EA5" w:rsidRPr="00640A47">
        <w:rPr>
          <w:rFonts w:cstheme="minorHAnsi"/>
          <w:color w:val="000000" w:themeColor="text1"/>
          <w:sz w:val="24"/>
          <w:szCs w:val="24"/>
        </w:rPr>
        <w:t xml:space="preserve">” a la manera que hemos comprobado en la </w:t>
      </w:r>
      <w:proofErr w:type="spellStart"/>
      <w:r w:rsidR="00E62EA5" w:rsidRPr="00640A47">
        <w:rPr>
          <w:rFonts w:cstheme="minorHAnsi"/>
          <w:i/>
          <w:color w:val="000000" w:themeColor="text1"/>
          <w:sz w:val="24"/>
          <w:szCs w:val="24"/>
        </w:rPr>
        <w:t>family</w:t>
      </w:r>
      <w:proofErr w:type="spellEnd"/>
      <w:r w:rsidR="00E62EA5" w:rsidRPr="00640A47">
        <w:rPr>
          <w:rFonts w:cstheme="minorHAnsi"/>
          <w:i/>
          <w:color w:val="000000" w:themeColor="text1"/>
          <w:sz w:val="24"/>
          <w:szCs w:val="24"/>
        </w:rPr>
        <w:t xml:space="preserve"> </w:t>
      </w:r>
      <w:proofErr w:type="spellStart"/>
      <w:r w:rsidR="00E62EA5" w:rsidRPr="00640A47">
        <w:rPr>
          <w:rFonts w:cstheme="minorHAnsi"/>
          <w:i/>
          <w:color w:val="000000" w:themeColor="text1"/>
          <w:sz w:val="24"/>
          <w:szCs w:val="24"/>
        </w:rPr>
        <w:t>provision</w:t>
      </w:r>
      <w:proofErr w:type="spellEnd"/>
      <w:r w:rsidR="00E62EA5" w:rsidRPr="00640A47">
        <w:rPr>
          <w:rFonts w:cstheme="minorHAnsi"/>
          <w:i/>
          <w:color w:val="000000" w:themeColor="text1"/>
          <w:sz w:val="24"/>
          <w:szCs w:val="24"/>
        </w:rPr>
        <w:t xml:space="preserve"> </w:t>
      </w:r>
      <w:r w:rsidR="00E62EA5" w:rsidRPr="00640A47">
        <w:rPr>
          <w:rFonts w:cstheme="minorHAnsi"/>
          <w:color w:val="000000" w:themeColor="text1"/>
          <w:sz w:val="24"/>
          <w:szCs w:val="24"/>
        </w:rPr>
        <w:t xml:space="preserve">puede entrañar un aumento de la conflictividad </w:t>
      </w:r>
      <w:r w:rsidR="00833227" w:rsidRPr="00640A47">
        <w:rPr>
          <w:rFonts w:cstheme="minorHAnsi"/>
          <w:color w:val="000000" w:themeColor="text1"/>
          <w:sz w:val="24"/>
          <w:szCs w:val="24"/>
        </w:rPr>
        <w:t>inoportuno.</w:t>
      </w:r>
      <w:r w:rsidR="00903FB6" w:rsidRPr="00640A47">
        <w:rPr>
          <w:rFonts w:cstheme="minorHAnsi"/>
          <w:color w:val="000000" w:themeColor="text1"/>
          <w:sz w:val="24"/>
          <w:szCs w:val="24"/>
        </w:rPr>
        <w:t xml:space="preserve"> Por ello, nos parece más indicado retornar a las opciones que ya proporciona el derecho vigente. Entre ellas, está que el cónyuge o conviviente del progenitor asuma las funciones de la potestad paternal. De este modo, creemos que una propuesta como la siguiente podría generar un consenso suficiente. Sería legitimario el hijastro o hijastra (y a la inversa lo sería el padrastro o madrastra en la sucesión de aquel cuando el progenitor sea reconocido como legitimario) si concurren cumulativamente los siguientes requisitos:</w:t>
      </w:r>
    </w:p>
    <w:p w:rsidR="00903FB6" w:rsidRPr="00640A47" w:rsidRDefault="00903FB6" w:rsidP="00640A47">
      <w:pPr>
        <w:spacing w:line="312" w:lineRule="auto"/>
        <w:jc w:val="both"/>
        <w:rPr>
          <w:rFonts w:cstheme="minorHAnsi"/>
          <w:color w:val="000000" w:themeColor="text1"/>
          <w:sz w:val="24"/>
          <w:szCs w:val="24"/>
        </w:rPr>
      </w:pPr>
      <w:r w:rsidRPr="00640A47">
        <w:rPr>
          <w:rFonts w:cstheme="minorHAnsi"/>
          <w:color w:val="000000" w:themeColor="text1"/>
          <w:sz w:val="24"/>
          <w:szCs w:val="24"/>
        </w:rPr>
        <w:t>a) El hijastro o hijastra ha convivido con el causante;</w:t>
      </w:r>
    </w:p>
    <w:p w:rsidR="00903FB6" w:rsidRPr="00640A47" w:rsidRDefault="00903FB6" w:rsidP="00640A47">
      <w:pPr>
        <w:spacing w:line="312" w:lineRule="auto"/>
        <w:jc w:val="both"/>
        <w:rPr>
          <w:rFonts w:cstheme="minorHAnsi"/>
          <w:sz w:val="24"/>
          <w:szCs w:val="24"/>
        </w:rPr>
      </w:pPr>
      <w:r w:rsidRPr="00640A47">
        <w:rPr>
          <w:rFonts w:cstheme="minorHAnsi"/>
          <w:sz w:val="24"/>
          <w:szCs w:val="24"/>
        </w:rPr>
        <w:t>b) La convivencia se ha iniciado durante la minoría de edad de hijastro o hijastra;</w:t>
      </w:r>
    </w:p>
    <w:p w:rsidR="00903FB6" w:rsidRPr="00640A47" w:rsidRDefault="00903FB6" w:rsidP="00640A47">
      <w:pPr>
        <w:spacing w:line="312" w:lineRule="auto"/>
        <w:jc w:val="both"/>
        <w:rPr>
          <w:rFonts w:cstheme="minorHAnsi"/>
          <w:sz w:val="24"/>
          <w:szCs w:val="24"/>
        </w:rPr>
      </w:pPr>
      <w:r w:rsidRPr="00640A47">
        <w:rPr>
          <w:rFonts w:cstheme="minorHAnsi"/>
          <w:sz w:val="24"/>
          <w:szCs w:val="24"/>
        </w:rPr>
        <w:t>c) El padrastro o madrastra ha asumido el ejercicio de las funciones propias de la potestad parental (con titularidad o sin ella); y</w:t>
      </w:r>
    </w:p>
    <w:p w:rsidR="00903FB6" w:rsidRPr="00640A47" w:rsidRDefault="00903FB6" w:rsidP="00640A47">
      <w:pPr>
        <w:spacing w:line="312" w:lineRule="auto"/>
        <w:jc w:val="both"/>
        <w:rPr>
          <w:rFonts w:cstheme="minorHAnsi"/>
          <w:sz w:val="24"/>
          <w:szCs w:val="24"/>
        </w:rPr>
      </w:pPr>
      <w:r w:rsidRPr="00640A47">
        <w:rPr>
          <w:rFonts w:cstheme="minorHAnsi"/>
          <w:sz w:val="24"/>
          <w:szCs w:val="24"/>
        </w:rPr>
        <w:t>d) Tras la asunción de las funciones parentales la convivencia</w:t>
      </w:r>
      <w:r w:rsidR="00A24A05" w:rsidRPr="00640A47">
        <w:rPr>
          <w:rFonts w:cstheme="minorHAnsi"/>
          <w:sz w:val="24"/>
          <w:szCs w:val="24"/>
        </w:rPr>
        <w:t xml:space="preserve"> se ha prolongado otros dos años.</w:t>
      </w:r>
    </w:p>
    <w:p w:rsidR="00A24A05" w:rsidRPr="00640A47" w:rsidRDefault="00A24A05" w:rsidP="00640A47">
      <w:pPr>
        <w:spacing w:line="312" w:lineRule="auto"/>
        <w:jc w:val="both"/>
        <w:rPr>
          <w:rFonts w:cstheme="minorHAnsi"/>
          <w:sz w:val="24"/>
          <w:szCs w:val="24"/>
        </w:rPr>
      </w:pPr>
      <w:r w:rsidRPr="00640A47">
        <w:rPr>
          <w:rFonts w:cstheme="minorHAnsi"/>
          <w:sz w:val="24"/>
          <w:szCs w:val="24"/>
        </w:rPr>
        <w:tab/>
        <w:t>Si concurren los cuatro requisitos anteriores, el hijastro o hijastra se convierte en un legitimario más, sin distinción alguna con los hijos por naturaleza del causante. No debe haber una legítima de menor rango. Ahora bien, como el lazo afectivo no es directo sino mediante el progenitor pareja del causante, el cese de la convivencia entre causante y progenitor que es causa de extinción de la legítima del cónyuge debe suponer, también, la pérdida de la legítima del hijastro o hijastra, salvo que, pese a la ruptura, este siga conviviendo con el padrastro o madrastra.</w:t>
      </w:r>
    </w:p>
    <w:p w:rsidR="00A24A05" w:rsidRPr="00640A47" w:rsidRDefault="00511B10" w:rsidP="00640A47">
      <w:pPr>
        <w:spacing w:line="312" w:lineRule="auto"/>
        <w:jc w:val="both"/>
        <w:rPr>
          <w:rFonts w:cstheme="minorHAnsi"/>
          <w:b/>
          <w:sz w:val="24"/>
          <w:szCs w:val="24"/>
        </w:rPr>
      </w:pPr>
      <w:r>
        <w:rPr>
          <w:rFonts w:cstheme="minorHAnsi"/>
          <w:b/>
          <w:sz w:val="24"/>
          <w:szCs w:val="24"/>
        </w:rPr>
        <w:t>5</w:t>
      </w:r>
      <w:r w:rsidR="00A24A05" w:rsidRPr="00640A47">
        <w:rPr>
          <w:rFonts w:cstheme="minorHAnsi"/>
          <w:b/>
          <w:sz w:val="24"/>
          <w:szCs w:val="24"/>
        </w:rPr>
        <w:t>. CONCLUSIONES</w:t>
      </w:r>
    </w:p>
    <w:p w:rsidR="00A24A05" w:rsidRPr="00640A47" w:rsidRDefault="00A24A05" w:rsidP="00640A47">
      <w:pPr>
        <w:spacing w:line="312" w:lineRule="auto"/>
        <w:jc w:val="both"/>
        <w:rPr>
          <w:rFonts w:cstheme="minorHAnsi"/>
          <w:sz w:val="24"/>
          <w:szCs w:val="24"/>
        </w:rPr>
      </w:pPr>
      <w:r w:rsidRPr="00640A47">
        <w:rPr>
          <w:rFonts w:cstheme="minorHAnsi"/>
          <w:sz w:val="24"/>
          <w:szCs w:val="24"/>
        </w:rPr>
        <w:tab/>
      </w:r>
      <w:r w:rsidR="00165C7C" w:rsidRPr="00640A47">
        <w:rPr>
          <w:rFonts w:cstheme="minorHAnsi"/>
          <w:sz w:val="24"/>
          <w:szCs w:val="24"/>
        </w:rPr>
        <w:t>Parece inevitable que si el concepto de familia nuclear ya no se basa, solo, en la consanguinidad de sus miembros, sino que la realidad muestra la creciente frecuencia de una realidad plural y compleja como son las familias reconstituidas, uno de los aspectos unidos íntimamente a la familia, como es la sucesión</w:t>
      </w:r>
      <w:r w:rsidR="00407F11" w:rsidRPr="00640A47">
        <w:rPr>
          <w:rFonts w:cstheme="minorHAnsi"/>
          <w:sz w:val="24"/>
          <w:szCs w:val="24"/>
        </w:rPr>
        <w:t xml:space="preserve"> por un título legal</w:t>
      </w:r>
      <w:r w:rsidR="00165C7C" w:rsidRPr="00640A47">
        <w:rPr>
          <w:rFonts w:cstheme="minorHAnsi"/>
          <w:sz w:val="24"/>
          <w:szCs w:val="24"/>
        </w:rPr>
        <w:t xml:space="preserve">, no puede basarse únicamente, como hasta ahora, en la filiación por naturaleza y la filiación adoptiva. Así como el abandono de </w:t>
      </w:r>
      <w:r w:rsidR="003F2A14" w:rsidRPr="00640A47">
        <w:rPr>
          <w:rFonts w:cstheme="minorHAnsi"/>
          <w:sz w:val="24"/>
          <w:szCs w:val="24"/>
        </w:rPr>
        <w:t>las restricciones en materia de adopción tuvieron su traducción en la sucesión, lo mismo debe acabar sucediendo con las familias recompuestas: su reconocimiento, tímido por el momento, en el ámbito familiar, tendrá que reflejarse en el ámbito de la sucesión.</w:t>
      </w:r>
    </w:p>
    <w:p w:rsidR="00407F11" w:rsidRPr="00640A47" w:rsidRDefault="00407F11" w:rsidP="00640A47">
      <w:pPr>
        <w:spacing w:line="312" w:lineRule="auto"/>
        <w:jc w:val="both"/>
        <w:rPr>
          <w:rFonts w:cstheme="minorHAnsi"/>
          <w:sz w:val="24"/>
          <w:szCs w:val="24"/>
        </w:rPr>
      </w:pPr>
      <w:r w:rsidRPr="00640A47">
        <w:rPr>
          <w:rFonts w:cstheme="minorHAnsi"/>
          <w:sz w:val="24"/>
          <w:szCs w:val="24"/>
        </w:rPr>
        <w:lastRenderedPageBreak/>
        <w:tab/>
        <w:t>Sin embargo, la pluralidad de modelos de familia recompuesta dificulta llevar a la práctica este propósito. De ahí que la propuesta que formulamos sea prudente, pues no se trata de acuciar las disputas dentro de las familias por la herencia. Esta propuesta pasa por tratar de modo diferenciado la sucesión intestada y la legítima</w:t>
      </w:r>
      <w:r w:rsidR="002A03A8" w:rsidRPr="00640A47">
        <w:rPr>
          <w:rFonts w:cstheme="minorHAnsi"/>
          <w:sz w:val="24"/>
          <w:szCs w:val="24"/>
        </w:rPr>
        <w:t xml:space="preserve">, atendiendo a las finalidades de una y otra institución y a su regulación actual en los distintos ordenamientos civiles que conviven en España, procurando que no sean necesarias reformas de calado que alteren la idiosincrasia de cada uno y el encaje de esta nueva realidad familiar no ocasione distorsiones excesivas. Para ello hemos tomado en consideración los requisitos que ya actualmente se exigen a las familias reconstituidas para el reconocimiento de determinados efectos jurídicos. </w:t>
      </w:r>
      <w:r w:rsidR="002170A0" w:rsidRPr="00640A47">
        <w:rPr>
          <w:rFonts w:cstheme="minorHAnsi"/>
          <w:sz w:val="24"/>
          <w:szCs w:val="24"/>
        </w:rPr>
        <w:t xml:space="preserve">El ánimo ha sido el de objetivar las circunstancias bajo las cuales puede entenderse que procede tratar al hijastro o hijastra como al hijo o hija por naturaleza. </w:t>
      </w:r>
      <w:r w:rsidR="002A03A8" w:rsidRPr="00640A47">
        <w:rPr>
          <w:rFonts w:cstheme="minorHAnsi"/>
          <w:sz w:val="24"/>
          <w:szCs w:val="24"/>
        </w:rPr>
        <w:t xml:space="preserve">Con estos mimbres, </w:t>
      </w:r>
      <w:r w:rsidR="002170A0" w:rsidRPr="00640A47">
        <w:rPr>
          <w:rFonts w:cstheme="minorHAnsi"/>
          <w:sz w:val="24"/>
          <w:szCs w:val="24"/>
        </w:rPr>
        <w:t>es posible elaborar una propuesta cauta, que</w:t>
      </w:r>
      <w:r w:rsidR="00091DBE" w:rsidRPr="00640A47">
        <w:rPr>
          <w:rFonts w:cstheme="minorHAnsi"/>
          <w:sz w:val="24"/>
          <w:szCs w:val="24"/>
        </w:rPr>
        <w:t>,</w:t>
      </w:r>
      <w:r w:rsidR="002170A0" w:rsidRPr="00640A47">
        <w:rPr>
          <w:rFonts w:cstheme="minorHAnsi"/>
          <w:sz w:val="24"/>
          <w:szCs w:val="24"/>
        </w:rPr>
        <w:t xml:space="preserve"> en el caso de la sucesión intestada, a su vez, admite distintas variantes. Entendemos que, en cualquier caso, el hijastro o hijastra debe ser preferente en la sucesión intestada al Estado o la Comunidad Autónoma. Pero</w:t>
      </w:r>
      <w:r w:rsidR="00091DBE" w:rsidRPr="00640A47">
        <w:rPr>
          <w:rFonts w:cstheme="minorHAnsi"/>
          <w:sz w:val="24"/>
          <w:szCs w:val="24"/>
        </w:rPr>
        <w:t xml:space="preserve"> la total equiparación, tanto para la sucesión abintestato como para la legítima, se limita a los supuestos más evidentes de integración total. Creemos que la clave radica en cohonestar el derecho de familia con el derecho de sucesiones, lo que debe conducir al reconocimiento cadencioso de derechos sucesorios legales en las familias reconstituidas.</w:t>
      </w:r>
    </w:p>
    <w:sectPr w:rsidR="00407F11" w:rsidRPr="00640A4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5C" w:rsidRDefault="00BD0D5C" w:rsidP="00B92EAD">
      <w:pPr>
        <w:spacing w:after="0" w:line="240" w:lineRule="auto"/>
      </w:pPr>
      <w:r>
        <w:separator/>
      </w:r>
    </w:p>
  </w:endnote>
  <w:endnote w:type="continuationSeparator" w:id="0">
    <w:p w:rsidR="00BD0D5C" w:rsidRDefault="00BD0D5C" w:rsidP="00B9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892166"/>
      <w:docPartObj>
        <w:docPartGallery w:val="Page Numbers (Bottom of Page)"/>
        <w:docPartUnique/>
      </w:docPartObj>
    </w:sdtPr>
    <w:sdtEndPr/>
    <w:sdtContent>
      <w:p w:rsidR="00BB4C87" w:rsidRDefault="00BB4C87">
        <w:pPr>
          <w:pStyle w:val="Piedepgina"/>
          <w:jc w:val="center"/>
        </w:pPr>
        <w:r>
          <w:fldChar w:fldCharType="begin"/>
        </w:r>
        <w:r>
          <w:instrText>PAGE   \* MERGEFORMAT</w:instrText>
        </w:r>
        <w:r>
          <w:fldChar w:fldCharType="separate"/>
        </w:r>
        <w:r w:rsidR="00657B0D">
          <w:rPr>
            <w:noProof/>
          </w:rPr>
          <w:t>21</w:t>
        </w:r>
        <w:r>
          <w:fldChar w:fldCharType="end"/>
        </w:r>
      </w:p>
    </w:sdtContent>
  </w:sdt>
  <w:p w:rsidR="00BB4C87" w:rsidRDefault="00BB4C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5C" w:rsidRDefault="00BD0D5C" w:rsidP="00B92EAD">
      <w:pPr>
        <w:spacing w:after="0" w:line="240" w:lineRule="auto"/>
      </w:pPr>
      <w:r>
        <w:separator/>
      </w:r>
    </w:p>
  </w:footnote>
  <w:footnote w:type="continuationSeparator" w:id="0">
    <w:p w:rsidR="00BD0D5C" w:rsidRDefault="00BD0D5C" w:rsidP="00B92EAD">
      <w:pPr>
        <w:spacing w:after="0" w:line="240" w:lineRule="auto"/>
      </w:pPr>
      <w:r>
        <w:continuationSeparator/>
      </w:r>
    </w:p>
  </w:footnote>
  <w:footnote w:id="1">
    <w:p w:rsidR="00087310" w:rsidRPr="00640A47" w:rsidRDefault="00087310">
      <w:pPr>
        <w:pStyle w:val="Textonotapie"/>
        <w:rPr>
          <w:rFonts w:cstheme="minorHAnsi"/>
        </w:rPr>
      </w:pPr>
      <w:r w:rsidRPr="00640A47">
        <w:rPr>
          <w:rStyle w:val="Refdenotaalpie"/>
          <w:rFonts w:cstheme="minorHAnsi"/>
        </w:rPr>
        <w:footnoteRef/>
      </w:r>
      <w:r w:rsidRPr="00640A47">
        <w:rPr>
          <w:rFonts w:cstheme="minorHAnsi"/>
        </w:rPr>
        <w:t xml:space="preserve"> Este trabajo es parte de las actividades del proyecto de investigación DER2015-70636-C2-1 y del grupo consolidado de la Generalidad de Catalunya 2014SGR2013.</w:t>
      </w:r>
    </w:p>
  </w:footnote>
  <w:footnote w:id="2">
    <w:p w:rsidR="00BB4C87" w:rsidRPr="003322DE" w:rsidRDefault="00BB4C87" w:rsidP="00D8424E">
      <w:pPr>
        <w:pStyle w:val="Textonotapie"/>
        <w:jc w:val="both"/>
        <w:rPr>
          <w:rFonts w:cstheme="minorHAnsi"/>
          <w:lang w:val="en-US"/>
        </w:rPr>
      </w:pPr>
      <w:r w:rsidRPr="00640A47">
        <w:rPr>
          <w:rStyle w:val="Refdenotaalpie"/>
          <w:rFonts w:cstheme="minorHAnsi"/>
        </w:rPr>
        <w:footnoteRef/>
      </w:r>
      <w:r w:rsidRPr="00640A47">
        <w:rPr>
          <w:rFonts w:cstheme="minorHAnsi"/>
        </w:rPr>
        <w:t xml:space="preserve">; id., “El ejercicio de la </w:t>
      </w:r>
      <w:proofErr w:type="spellStart"/>
      <w:r w:rsidRPr="00640A47">
        <w:rPr>
          <w:rFonts w:cstheme="minorHAnsi"/>
        </w:rPr>
        <w:t>parentalidad</w:t>
      </w:r>
      <w:proofErr w:type="spellEnd"/>
      <w:r w:rsidRPr="00640A47">
        <w:rPr>
          <w:rFonts w:cstheme="minorHAnsi"/>
        </w:rPr>
        <w:t xml:space="preserve"> en las familias reconstituidas”, </w:t>
      </w:r>
      <w:proofErr w:type="spellStart"/>
      <w:r w:rsidRPr="00640A47">
        <w:rPr>
          <w:rFonts w:cstheme="minorHAnsi"/>
          <w:i/>
        </w:rPr>
        <w:t>Portularia</w:t>
      </w:r>
      <w:proofErr w:type="spellEnd"/>
      <w:r w:rsidRPr="00640A47">
        <w:rPr>
          <w:rFonts w:cstheme="minorHAnsi"/>
          <w:i/>
        </w:rPr>
        <w:t xml:space="preserve">, </w:t>
      </w:r>
      <w:r w:rsidRPr="00640A47">
        <w:rPr>
          <w:rFonts w:cstheme="minorHAnsi"/>
        </w:rPr>
        <w:t xml:space="preserve">2012, vol. </w:t>
      </w:r>
      <w:r w:rsidRPr="003322DE">
        <w:rPr>
          <w:rFonts w:cstheme="minorHAnsi"/>
          <w:lang w:val="en-US"/>
        </w:rPr>
        <w:t xml:space="preserve">XII, p. 30 </w:t>
      </w:r>
      <w:proofErr w:type="spellStart"/>
      <w:r w:rsidRPr="003322DE">
        <w:rPr>
          <w:rFonts w:cstheme="minorHAnsi"/>
          <w:lang w:val="en-US"/>
        </w:rPr>
        <w:t>ss</w:t>
      </w:r>
      <w:proofErr w:type="spellEnd"/>
      <w:r w:rsidRPr="003322DE">
        <w:rPr>
          <w:rFonts w:cstheme="minorHAnsi"/>
          <w:lang w:val="en-US"/>
        </w:rPr>
        <w:t xml:space="preserve">; </w:t>
      </w:r>
      <w:proofErr w:type="spellStart"/>
      <w:r w:rsidRPr="003322DE">
        <w:rPr>
          <w:rFonts w:cstheme="minorHAnsi"/>
          <w:smallCaps/>
          <w:lang w:val="en-US"/>
        </w:rPr>
        <w:t>Navas</w:t>
      </w:r>
      <w:proofErr w:type="spellEnd"/>
      <w:r w:rsidRPr="003322DE">
        <w:rPr>
          <w:rFonts w:cstheme="minorHAnsi"/>
          <w:smallCaps/>
          <w:lang w:val="en-US"/>
        </w:rPr>
        <w:t xml:space="preserve"> Navarro</w:t>
      </w:r>
      <w:r w:rsidRPr="003322DE">
        <w:rPr>
          <w:rFonts w:cstheme="minorHAnsi"/>
          <w:lang w:val="en-US"/>
        </w:rPr>
        <w:t>,</w:t>
      </w:r>
      <w:r w:rsidR="009412D6" w:rsidRPr="003322DE">
        <w:rPr>
          <w:rFonts w:cstheme="minorHAnsi"/>
          <w:lang w:val="en-US"/>
        </w:rPr>
        <w:t xml:space="preserve"> Susana,</w:t>
      </w:r>
      <w:r w:rsidRPr="003322DE">
        <w:rPr>
          <w:rFonts w:cstheme="minorHAnsi"/>
          <w:lang w:val="en-US"/>
        </w:rPr>
        <w:t xml:space="preserve"> “Child’s Life, Step-Family and Decision-Making Process —European Overview”, </w:t>
      </w:r>
      <w:r w:rsidRPr="003322DE">
        <w:rPr>
          <w:rFonts w:cstheme="minorHAnsi"/>
          <w:i/>
          <w:lang w:val="en-US"/>
        </w:rPr>
        <w:t xml:space="preserve">Beijing Law Review, </w:t>
      </w:r>
      <w:r w:rsidRPr="003322DE">
        <w:rPr>
          <w:rFonts w:cstheme="minorHAnsi"/>
          <w:lang w:val="en-US"/>
        </w:rPr>
        <w:t xml:space="preserve">2013, vol. 4, </w:t>
      </w:r>
      <w:proofErr w:type="spellStart"/>
      <w:r w:rsidRPr="003322DE">
        <w:rPr>
          <w:rFonts w:cstheme="minorHAnsi"/>
          <w:lang w:val="en-US"/>
        </w:rPr>
        <w:t>num</w:t>
      </w:r>
      <w:proofErr w:type="spellEnd"/>
      <w:r w:rsidRPr="003322DE">
        <w:rPr>
          <w:rFonts w:cstheme="minorHAnsi"/>
          <w:lang w:val="en-US"/>
        </w:rPr>
        <w:t>, 2, p. 63.</w:t>
      </w:r>
    </w:p>
  </w:footnote>
  <w:footnote w:id="3">
    <w:p w:rsidR="00BB4C87" w:rsidRPr="00640A47" w:rsidRDefault="00BB4C87" w:rsidP="002411F5">
      <w:pPr>
        <w:pStyle w:val="Textonotapie"/>
        <w:jc w:val="both"/>
        <w:rPr>
          <w:rFonts w:cstheme="minorHAnsi"/>
        </w:rPr>
      </w:pPr>
      <w:r w:rsidRPr="00640A47">
        <w:rPr>
          <w:rStyle w:val="Refdenotaalpie"/>
          <w:rFonts w:cstheme="minorHAnsi"/>
        </w:rPr>
        <w:footnoteRef/>
      </w:r>
      <w:r w:rsidRPr="00640A47">
        <w:rPr>
          <w:rFonts w:cstheme="minorHAnsi"/>
        </w:rPr>
        <w:t xml:space="preserve"> Un factor que lo explica es que la tasa de divorcios española es de las más altas en Europa (la tasa de ruptura es 0,65, siendo la media europea 0,46, es decir, por cada 10 matrimonios hay más de 6 roturas), según el Informe Evolución de la Familia en España 2016 del Instituto de Política Familiar; la duración media del matrimonio en España apenas rebasa los 16 años para una esperanza de vida que supera con creces los 80 años (fuente: INE, Estadística de Nulidades, Separaciones y Divorcios Año 2015). </w:t>
      </w:r>
    </w:p>
  </w:footnote>
  <w:footnote w:id="4">
    <w:p w:rsidR="00BB4C87" w:rsidRPr="00640A47" w:rsidRDefault="00BB4C87">
      <w:pPr>
        <w:pStyle w:val="Textonotapie"/>
        <w:rPr>
          <w:rFonts w:cstheme="minorHAnsi"/>
        </w:rPr>
      </w:pPr>
      <w:r w:rsidRPr="00640A47">
        <w:rPr>
          <w:rStyle w:val="Refdenotaalpie"/>
          <w:rFonts w:cstheme="minorHAnsi"/>
        </w:rPr>
        <w:footnoteRef/>
      </w:r>
      <w:r w:rsidRPr="00640A47">
        <w:rPr>
          <w:rFonts w:cstheme="minorHAnsi"/>
        </w:rPr>
        <w:t xml:space="preserve"> INE, Censo de Población y viviendas de 2011.</w:t>
      </w:r>
    </w:p>
  </w:footnote>
  <w:footnote w:id="5">
    <w:p w:rsidR="00BB4C87" w:rsidRPr="00640A47" w:rsidRDefault="00BB4C87">
      <w:pPr>
        <w:pStyle w:val="Textonotapie"/>
        <w:rPr>
          <w:rFonts w:cstheme="minorHAnsi"/>
        </w:rPr>
      </w:pPr>
      <w:r w:rsidRPr="00640A47">
        <w:rPr>
          <w:rStyle w:val="Refdenotaalpie"/>
          <w:rFonts w:cstheme="minorHAnsi"/>
        </w:rPr>
        <w:footnoteRef/>
      </w:r>
      <w:r w:rsidRPr="00640A47">
        <w:rPr>
          <w:rFonts w:cstheme="minorHAnsi"/>
        </w:rPr>
        <w:t xml:space="preserve"> </w:t>
      </w:r>
      <w:r w:rsidRPr="00640A47">
        <w:rPr>
          <w:rFonts w:cstheme="minorHAnsi"/>
          <w:smallCaps/>
        </w:rPr>
        <w:t xml:space="preserve">Rivas </w:t>
      </w:r>
      <w:proofErr w:type="spellStart"/>
      <w:r w:rsidRPr="00640A47">
        <w:rPr>
          <w:rFonts w:cstheme="minorHAnsi"/>
          <w:smallCaps/>
        </w:rPr>
        <w:t>Rivas</w:t>
      </w:r>
      <w:proofErr w:type="spellEnd"/>
      <w:r w:rsidRPr="00640A47">
        <w:rPr>
          <w:rFonts w:cstheme="minorHAnsi"/>
        </w:rPr>
        <w:t xml:space="preserve">, “Las nuevas formas”, </w:t>
      </w:r>
      <w:proofErr w:type="spellStart"/>
      <w:r w:rsidR="009412D6">
        <w:rPr>
          <w:rFonts w:cstheme="minorHAnsi"/>
        </w:rPr>
        <w:t>op</w:t>
      </w:r>
      <w:proofErr w:type="spellEnd"/>
      <w:r w:rsidR="009412D6">
        <w:rPr>
          <w:rFonts w:cstheme="minorHAnsi"/>
        </w:rPr>
        <w:t xml:space="preserve">. cit., </w:t>
      </w:r>
      <w:r w:rsidRPr="00640A47">
        <w:rPr>
          <w:rFonts w:cstheme="minorHAnsi"/>
        </w:rPr>
        <w:t>p. 198.</w:t>
      </w:r>
    </w:p>
  </w:footnote>
  <w:footnote w:id="6">
    <w:p w:rsidR="00BB4C87" w:rsidRPr="00640A47" w:rsidRDefault="00BB4C87" w:rsidP="008D1EA3">
      <w:pPr>
        <w:pStyle w:val="Textonotapie"/>
        <w:jc w:val="both"/>
        <w:rPr>
          <w:rFonts w:cstheme="minorHAnsi"/>
        </w:rPr>
      </w:pPr>
      <w:r w:rsidRPr="00640A47">
        <w:rPr>
          <w:rStyle w:val="Refdenotaalpie"/>
          <w:rFonts w:cstheme="minorHAnsi"/>
        </w:rPr>
        <w:footnoteRef/>
      </w:r>
      <w:r w:rsidRPr="00640A47">
        <w:rPr>
          <w:rFonts w:cstheme="minorHAnsi"/>
        </w:rPr>
        <w:t xml:space="preserve"> Véase </w:t>
      </w:r>
      <w:r w:rsidRPr="00640A47">
        <w:rPr>
          <w:rFonts w:cstheme="minorHAnsi"/>
          <w:smallCaps/>
        </w:rPr>
        <w:t>Rebolledo Varela</w:t>
      </w:r>
      <w:r w:rsidR="009412D6">
        <w:rPr>
          <w:rFonts w:cstheme="minorHAnsi"/>
          <w:smallCaps/>
        </w:rPr>
        <w:t>,</w:t>
      </w:r>
      <w:r w:rsidR="009412D6" w:rsidRPr="009412D6">
        <w:rPr>
          <w:rFonts w:cstheme="minorHAnsi"/>
        </w:rPr>
        <w:t xml:space="preserve"> </w:t>
      </w:r>
      <w:r w:rsidR="009412D6" w:rsidRPr="00640A47">
        <w:rPr>
          <w:rFonts w:cstheme="minorHAnsi"/>
        </w:rPr>
        <w:t>Ángel Luis</w:t>
      </w:r>
      <w:r w:rsidRPr="00640A47">
        <w:rPr>
          <w:rFonts w:cstheme="minorHAnsi"/>
        </w:rPr>
        <w:t xml:space="preserve">, “La actualización del derecho sucesorio español ante los cambios sociológicos y jurídicos de la familia”, en id. (coord.), </w:t>
      </w:r>
      <w:r w:rsidRPr="00640A47">
        <w:rPr>
          <w:rFonts w:cstheme="minorHAnsi"/>
          <w:i/>
        </w:rPr>
        <w:t xml:space="preserve">La familia en el derecho de sucesiones: cuestiones actuales y perspectivas de futuro, </w:t>
      </w:r>
      <w:r w:rsidRPr="00640A47">
        <w:rPr>
          <w:rFonts w:cstheme="minorHAnsi"/>
        </w:rPr>
        <w:t>Madrid, 2010, pp. 25-26.</w:t>
      </w:r>
    </w:p>
  </w:footnote>
  <w:footnote w:id="7">
    <w:p w:rsidR="00BB4C87" w:rsidRPr="00640A47" w:rsidRDefault="00BB4C87" w:rsidP="00CA2A39">
      <w:pPr>
        <w:pStyle w:val="Textonotapie"/>
        <w:jc w:val="both"/>
        <w:rPr>
          <w:rFonts w:cstheme="minorHAnsi"/>
        </w:rPr>
      </w:pPr>
      <w:r w:rsidRPr="00640A47">
        <w:rPr>
          <w:rStyle w:val="Refdenotaalpie"/>
          <w:rFonts w:cstheme="minorHAnsi"/>
        </w:rPr>
        <w:footnoteRef/>
      </w:r>
      <w:r w:rsidRPr="00640A47">
        <w:rPr>
          <w:rFonts w:cstheme="minorHAnsi"/>
        </w:rPr>
        <w:t xml:space="preserve"> Apenas algunos autores se detienen en señalar que el derecho sucesorio vigente no responde a las familias reconstituidas; por ejemplo, </w:t>
      </w:r>
      <w:r w:rsidRPr="00640A47">
        <w:rPr>
          <w:rFonts w:cstheme="minorHAnsi"/>
          <w:smallCaps/>
        </w:rPr>
        <w:t>Acedo Penco</w:t>
      </w:r>
      <w:r w:rsidRPr="00640A47">
        <w:rPr>
          <w:rFonts w:cstheme="minorHAnsi"/>
        </w:rPr>
        <w:t>,</w:t>
      </w:r>
      <w:r w:rsidR="009412D6" w:rsidRPr="009412D6">
        <w:rPr>
          <w:rFonts w:cstheme="minorHAnsi"/>
        </w:rPr>
        <w:t xml:space="preserve"> </w:t>
      </w:r>
      <w:r w:rsidR="009412D6" w:rsidRPr="00640A47">
        <w:rPr>
          <w:rFonts w:cstheme="minorHAnsi"/>
        </w:rPr>
        <w:t>Ángel</w:t>
      </w:r>
      <w:r w:rsidR="009412D6">
        <w:rPr>
          <w:rFonts w:cstheme="minorHAnsi"/>
        </w:rPr>
        <w:t>,</w:t>
      </w:r>
      <w:r w:rsidRPr="00640A47">
        <w:rPr>
          <w:rFonts w:cstheme="minorHAnsi"/>
        </w:rPr>
        <w:t xml:space="preserve"> </w:t>
      </w:r>
      <w:r w:rsidRPr="00640A47">
        <w:rPr>
          <w:rFonts w:cstheme="minorHAnsi"/>
          <w:i/>
        </w:rPr>
        <w:t xml:space="preserve">Derecho de sucesiones. El testamento y la herencia, </w:t>
      </w:r>
      <w:proofErr w:type="spellStart"/>
      <w:r w:rsidR="009412D6">
        <w:rPr>
          <w:rFonts w:cstheme="minorHAnsi"/>
        </w:rPr>
        <w:t>Dykinson</w:t>
      </w:r>
      <w:proofErr w:type="spellEnd"/>
      <w:r w:rsidR="009412D6">
        <w:rPr>
          <w:rFonts w:cstheme="minorHAnsi"/>
        </w:rPr>
        <w:t xml:space="preserve">, </w:t>
      </w:r>
      <w:r w:rsidRPr="00640A47">
        <w:rPr>
          <w:rFonts w:cstheme="minorHAnsi"/>
        </w:rPr>
        <w:t xml:space="preserve">Madrid, 2014, p. 106, en relación con la sucesión intestada, haciendo notar la conveniencia de su revisión para darles cabida. La literatura jurídica específica más relevante la constituyen las siguientes referencias: </w:t>
      </w:r>
      <w:r w:rsidR="00087310" w:rsidRPr="00640A47">
        <w:rPr>
          <w:rFonts w:cstheme="minorHAnsi"/>
          <w:smallCaps/>
        </w:rPr>
        <w:t xml:space="preserve">Díaz </w:t>
      </w:r>
      <w:proofErr w:type="spellStart"/>
      <w:r w:rsidR="00087310" w:rsidRPr="00640A47">
        <w:rPr>
          <w:rFonts w:cstheme="minorHAnsi"/>
          <w:smallCaps/>
        </w:rPr>
        <w:t>Alabart</w:t>
      </w:r>
      <w:proofErr w:type="spellEnd"/>
      <w:r w:rsidR="00087310" w:rsidRPr="00640A47">
        <w:rPr>
          <w:rFonts w:cstheme="minorHAnsi"/>
        </w:rPr>
        <w:t>,</w:t>
      </w:r>
      <w:r w:rsidR="009412D6" w:rsidRPr="009412D6">
        <w:rPr>
          <w:rFonts w:cstheme="minorHAnsi"/>
        </w:rPr>
        <w:t xml:space="preserve"> </w:t>
      </w:r>
      <w:r w:rsidR="009412D6" w:rsidRPr="00640A47">
        <w:rPr>
          <w:rFonts w:cstheme="minorHAnsi"/>
        </w:rPr>
        <w:t>Silvia</w:t>
      </w:r>
      <w:r w:rsidR="009412D6">
        <w:rPr>
          <w:rFonts w:cstheme="minorHAnsi"/>
        </w:rPr>
        <w:t>,</w:t>
      </w:r>
      <w:r w:rsidR="00087310" w:rsidRPr="00640A47">
        <w:rPr>
          <w:rFonts w:cstheme="minorHAnsi"/>
        </w:rPr>
        <w:t xml:space="preserve"> “El </w:t>
      </w:r>
      <w:proofErr w:type="spellStart"/>
      <w:r w:rsidR="00087310" w:rsidRPr="00640A47">
        <w:rPr>
          <w:rFonts w:cstheme="minorHAnsi"/>
        </w:rPr>
        <w:t>pseudo</w:t>
      </w:r>
      <w:proofErr w:type="spellEnd"/>
      <w:r w:rsidR="00087310" w:rsidRPr="00640A47">
        <w:rPr>
          <w:rFonts w:cstheme="minorHAnsi"/>
        </w:rPr>
        <w:t xml:space="preserve"> «estatus </w:t>
      </w:r>
      <w:proofErr w:type="spellStart"/>
      <w:r w:rsidR="00087310" w:rsidRPr="00640A47">
        <w:rPr>
          <w:rFonts w:cstheme="minorHAnsi"/>
        </w:rPr>
        <w:t>familiae</w:t>
      </w:r>
      <w:proofErr w:type="spellEnd"/>
      <w:r w:rsidR="00087310" w:rsidRPr="00640A47">
        <w:rPr>
          <w:rFonts w:cstheme="minorHAnsi"/>
        </w:rPr>
        <w:t>» en el Có</w:t>
      </w:r>
      <w:r w:rsidR="009412D6">
        <w:rPr>
          <w:rFonts w:cstheme="minorHAnsi"/>
        </w:rPr>
        <w:t>d</w:t>
      </w:r>
      <w:r w:rsidR="00087310" w:rsidRPr="00640A47">
        <w:rPr>
          <w:rFonts w:cstheme="minorHAnsi"/>
        </w:rPr>
        <w:t xml:space="preserve">igo Civil”, </w:t>
      </w:r>
      <w:r w:rsidR="00087310" w:rsidRPr="00640A47">
        <w:rPr>
          <w:rFonts w:cstheme="minorHAnsi"/>
          <w:i/>
        </w:rPr>
        <w:t xml:space="preserve">Revista de Derecho </w:t>
      </w:r>
      <w:r w:rsidR="009412D6">
        <w:rPr>
          <w:rFonts w:cstheme="minorHAnsi"/>
          <w:i/>
        </w:rPr>
        <w:t>Privado</w:t>
      </w:r>
      <w:r w:rsidR="00087310" w:rsidRPr="00640A47">
        <w:rPr>
          <w:rFonts w:cstheme="minorHAnsi"/>
          <w:i/>
        </w:rPr>
        <w:t xml:space="preserve">, </w:t>
      </w:r>
      <w:r w:rsidR="00087310" w:rsidRPr="00640A47">
        <w:rPr>
          <w:rFonts w:cstheme="minorHAnsi"/>
        </w:rPr>
        <w:t xml:space="preserve">1992, p. 839 </w:t>
      </w:r>
      <w:proofErr w:type="spellStart"/>
      <w:r w:rsidR="00087310" w:rsidRPr="00640A47">
        <w:rPr>
          <w:rFonts w:cstheme="minorHAnsi"/>
        </w:rPr>
        <w:t>ss</w:t>
      </w:r>
      <w:proofErr w:type="spellEnd"/>
      <w:r w:rsidR="00087310" w:rsidRPr="00640A47">
        <w:rPr>
          <w:rFonts w:cstheme="minorHAnsi"/>
        </w:rPr>
        <w:t xml:space="preserve">;  </w:t>
      </w:r>
      <w:r w:rsidRPr="00F737E5">
        <w:rPr>
          <w:rFonts w:cstheme="minorHAnsi"/>
          <w:smallCaps/>
        </w:rPr>
        <w:t xml:space="preserve">Roca </w:t>
      </w:r>
      <w:proofErr w:type="spellStart"/>
      <w:r w:rsidRPr="00F737E5">
        <w:rPr>
          <w:rFonts w:cstheme="minorHAnsi"/>
          <w:smallCaps/>
        </w:rPr>
        <w:t>Trias</w:t>
      </w:r>
      <w:proofErr w:type="spellEnd"/>
      <w:r w:rsidRPr="00F737E5">
        <w:rPr>
          <w:rFonts w:cstheme="minorHAnsi"/>
        </w:rPr>
        <w:t xml:space="preserve">,  </w:t>
      </w:r>
      <w:r w:rsidR="00F737E5" w:rsidRPr="00F737E5">
        <w:rPr>
          <w:rFonts w:cstheme="minorHAnsi"/>
        </w:rPr>
        <w:t>Encarna</w:t>
      </w:r>
      <w:r w:rsidR="00F737E5" w:rsidRPr="00F737E5">
        <w:rPr>
          <w:rFonts w:cstheme="minorHAnsi"/>
        </w:rPr>
        <w:t>,</w:t>
      </w:r>
      <w:r w:rsidR="00F737E5" w:rsidRPr="00F737E5">
        <w:rPr>
          <w:rFonts w:cstheme="minorHAnsi"/>
        </w:rPr>
        <w:t xml:space="preserve">  </w:t>
      </w:r>
      <w:r w:rsidRPr="00F737E5">
        <w:rPr>
          <w:rFonts w:cstheme="minorHAnsi"/>
        </w:rPr>
        <w:t xml:space="preserve">“La  </w:t>
      </w:r>
      <w:proofErr w:type="spellStart"/>
      <w:r w:rsidRPr="00F737E5">
        <w:rPr>
          <w:rFonts w:cstheme="minorHAnsi"/>
        </w:rPr>
        <w:t>regulació</w:t>
      </w:r>
      <w:proofErr w:type="spellEnd"/>
      <w:r w:rsidRPr="00F737E5">
        <w:rPr>
          <w:rFonts w:cstheme="minorHAnsi"/>
        </w:rPr>
        <w:t xml:space="preserve">  de  les  </w:t>
      </w:r>
      <w:proofErr w:type="spellStart"/>
      <w:r w:rsidRPr="00F737E5">
        <w:rPr>
          <w:rFonts w:cstheme="minorHAnsi"/>
        </w:rPr>
        <w:t>famílies</w:t>
      </w:r>
      <w:proofErr w:type="spellEnd"/>
      <w:r w:rsidRPr="00F737E5">
        <w:rPr>
          <w:rFonts w:cstheme="minorHAnsi"/>
        </w:rPr>
        <w:t xml:space="preserve">  "</w:t>
      </w:r>
      <w:proofErr w:type="spellStart"/>
      <w:r w:rsidRPr="00F737E5">
        <w:rPr>
          <w:rFonts w:cstheme="minorHAnsi"/>
        </w:rPr>
        <w:t>recomposades</w:t>
      </w:r>
      <w:proofErr w:type="spellEnd"/>
      <w:r w:rsidRPr="00F737E5">
        <w:rPr>
          <w:rFonts w:cstheme="minorHAnsi"/>
        </w:rPr>
        <w:t>"  o  "</w:t>
      </w:r>
      <w:proofErr w:type="spellStart"/>
      <w:r w:rsidRPr="00F737E5">
        <w:rPr>
          <w:rFonts w:cstheme="minorHAnsi"/>
        </w:rPr>
        <w:t>reconstituïdes</w:t>
      </w:r>
      <w:proofErr w:type="spellEnd"/>
      <w:r w:rsidRPr="00F737E5">
        <w:rPr>
          <w:rFonts w:cstheme="minorHAnsi"/>
        </w:rPr>
        <w:t>"”</w:t>
      </w:r>
      <w:r w:rsidR="00F737E5" w:rsidRPr="00F737E5">
        <w:rPr>
          <w:rFonts w:cstheme="minorHAnsi"/>
        </w:rPr>
        <w:t>,</w:t>
      </w:r>
      <w:r w:rsidRPr="00F737E5">
        <w:rPr>
          <w:rFonts w:cstheme="minorHAnsi"/>
        </w:rPr>
        <w:t xml:space="preserve"> i </w:t>
      </w:r>
      <w:r w:rsidRPr="00F737E5">
        <w:rPr>
          <w:rFonts w:cstheme="minorHAnsi"/>
          <w:smallCaps/>
        </w:rPr>
        <w:t>Bosch i Carrera</w:t>
      </w:r>
      <w:r w:rsidR="00F737E5" w:rsidRPr="00F737E5">
        <w:rPr>
          <w:rFonts w:cstheme="minorHAnsi"/>
          <w:smallCaps/>
        </w:rPr>
        <w:t>,</w:t>
      </w:r>
      <w:r w:rsidR="00F737E5" w:rsidRPr="00F737E5">
        <w:rPr>
          <w:rFonts w:cstheme="minorHAnsi"/>
        </w:rPr>
        <w:t xml:space="preserve"> </w:t>
      </w:r>
      <w:r w:rsidR="00F737E5" w:rsidRPr="00F737E5">
        <w:rPr>
          <w:rFonts w:cstheme="minorHAnsi"/>
        </w:rPr>
        <w:t>Antoni</w:t>
      </w:r>
      <w:r w:rsidRPr="00F737E5">
        <w:rPr>
          <w:rFonts w:cstheme="minorHAnsi"/>
        </w:rPr>
        <w:t xml:space="preserve">, “Las familias reconstituidas y las cuestiones de protección patrimonial”, en </w:t>
      </w:r>
      <w:proofErr w:type="spellStart"/>
      <w:r w:rsidRPr="00F737E5">
        <w:rPr>
          <w:rFonts w:cstheme="minorHAnsi"/>
        </w:rPr>
        <w:t>Àrea</w:t>
      </w:r>
      <w:proofErr w:type="spellEnd"/>
      <w:r w:rsidRPr="00F737E5">
        <w:rPr>
          <w:rFonts w:cstheme="minorHAnsi"/>
        </w:rPr>
        <w:t xml:space="preserve"> de </w:t>
      </w:r>
      <w:proofErr w:type="spellStart"/>
      <w:r w:rsidRPr="00F737E5">
        <w:rPr>
          <w:rFonts w:cstheme="minorHAnsi"/>
        </w:rPr>
        <w:t>Dret</w:t>
      </w:r>
      <w:proofErr w:type="spellEnd"/>
      <w:r w:rsidRPr="00F737E5">
        <w:rPr>
          <w:rFonts w:cstheme="minorHAnsi"/>
        </w:rPr>
        <w:t xml:space="preserve"> Civil de la Universitat de Girona</w:t>
      </w:r>
      <w:r w:rsidR="00F737E5" w:rsidRPr="00F737E5">
        <w:rPr>
          <w:rFonts w:cstheme="minorHAnsi"/>
        </w:rPr>
        <w:t xml:space="preserve"> (coord.)</w:t>
      </w:r>
      <w:r w:rsidRPr="00F737E5">
        <w:rPr>
          <w:rFonts w:cstheme="minorHAnsi"/>
        </w:rPr>
        <w:t xml:space="preserve">, </w:t>
      </w:r>
      <w:proofErr w:type="spellStart"/>
      <w:r w:rsidRPr="00F737E5">
        <w:rPr>
          <w:rFonts w:cstheme="minorHAnsi"/>
          <w:i/>
        </w:rPr>
        <w:t>Nous</w:t>
      </w:r>
      <w:proofErr w:type="spellEnd"/>
      <w:r w:rsidRPr="00F737E5">
        <w:rPr>
          <w:rFonts w:cstheme="minorHAnsi"/>
          <w:i/>
        </w:rPr>
        <w:t xml:space="preserve"> reptes del </w:t>
      </w:r>
      <w:proofErr w:type="spellStart"/>
      <w:r w:rsidRPr="00F737E5">
        <w:rPr>
          <w:rFonts w:cstheme="minorHAnsi"/>
          <w:i/>
        </w:rPr>
        <w:t>dret</w:t>
      </w:r>
      <w:proofErr w:type="spellEnd"/>
      <w:r w:rsidRPr="00F737E5">
        <w:rPr>
          <w:rFonts w:cstheme="minorHAnsi"/>
          <w:i/>
        </w:rPr>
        <w:t xml:space="preserve"> de familia, </w:t>
      </w:r>
      <w:r w:rsidRPr="00F737E5">
        <w:rPr>
          <w:rFonts w:cstheme="minorHAnsi"/>
        </w:rPr>
        <w:t>Girona, 2005,  p.</w:t>
      </w:r>
      <w:r w:rsidR="00F737E5" w:rsidRPr="00F737E5">
        <w:rPr>
          <w:rFonts w:cstheme="minorHAnsi"/>
        </w:rPr>
        <w:t xml:space="preserve"> 213 </w:t>
      </w:r>
      <w:proofErr w:type="spellStart"/>
      <w:r w:rsidR="00F737E5" w:rsidRPr="00F737E5">
        <w:rPr>
          <w:rFonts w:cstheme="minorHAnsi"/>
        </w:rPr>
        <w:t>ss</w:t>
      </w:r>
      <w:proofErr w:type="spellEnd"/>
      <w:r w:rsidR="00F737E5" w:rsidRPr="00F737E5">
        <w:rPr>
          <w:rFonts w:cstheme="minorHAnsi"/>
        </w:rPr>
        <w:t xml:space="preserve"> y</w:t>
      </w:r>
      <w:r w:rsidRPr="00F737E5">
        <w:rPr>
          <w:rFonts w:cstheme="minorHAnsi"/>
        </w:rPr>
        <w:t xml:space="preserve"> 24</w:t>
      </w:r>
      <w:r w:rsidR="00F737E5" w:rsidRPr="00F737E5">
        <w:rPr>
          <w:rFonts w:cstheme="minorHAnsi"/>
        </w:rPr>
        <w:t xml:space="preserve">1 </w:t>
      </w:r>
      <w:proofErr w:type="spellStart"/>
      <w:r w:rsidR="00F737E5" w:rsidRPr="00F737E5">
        <w:rPr>
          <w:rFonts w:cstheme="minorHAnsi"/>
        </w:rPr>
        <w:t>ss</w:t>
      </w:r>
      <w:proofErr w:type="spellEnd"/>
      <w:r w:rsidRPr="00F737E5">
        <w:rPr>
          <w:rFonts w:cstheme="minorHAnsi"/>
        </w:rPr>
        <w:t>, respectivamente</w:t>
      </w:r>
      <w:r w:rsidRPr="00640A47">
        <w:rPr>
          <w:rFonts w:cstheme="minorHAnsi"/>
        </w:rPr>
        <w:t xml:space="preserve">; </w:t>
      </w:r>
      <w:r w:rsidRPr="00640A47">
        <w:rPr>
          <w:rFonts w:cstheme="minorHAnsi"/>
          <w:smallCaps/>
        </w:rPr>
        <w:t xml:space="preserve">Garriga </w:t>
      </w:r>
      <w:proofErr w:type="spellStart"/>
      <w:r w:rsidRPr="00640A47">
        <w:rPr>
          <w:rFonts w:cstheme="minorHAnsi"/>
          <w:smallCaps/>
        </w:rPr>
        <w:t>Gorina</w:t>
      </w:r>
      <w:proofErr w:type="spellEnd"/>
      <w:r w:rsidRPr="00640A47">
        <w:rPr>
          <w:rFonts w:cstheme="minorHAnsi"/>
        </w:rPr>
        <w:t>,</w:t>
      </w:r>
      <w:r w:rsidR="009412D6" w:rsidRPr="009412D6">
        <w:rPr>
          <w:rFonts w:cstheme="minorHAnsi"/>
        </w:rPr>
        <w:t xml:space="preserve"> </w:t>
      </w:r>
      <w:r w:rsidR="009412D6" w:rsidRPr="00640A47">
        <w:rPr>
          <w:rFonts w:cstheme="minorHAnsi"/>
        </w:rPr>
        <w:t>Margarita</w:t>
      </w:r>
      <w:r w:rsidR="009412D6">
        <w:rPr>
          <w:rFonts w:cstheme="minorHAnsi"/>
        </w:rPr>
        <w:t>,</w:t>
      </w:r>
      <w:r w:rsidRPr="00640A47">
        <w:rPr>
          <w:rFonts w:cstheme="minorHAnsi"/>
        </w:rPr>
        <w:t xml:space="preserve"> “Les </w:t>
      </w:r>
      <w:proofErr w:type="spellStart"/>
      <w:r w:rsidRPr="00640A47">
        <w:rPr>
          <w:rFonts w:cstheme="minorHAnsi"/>
        </w:rPr>
        <w:t>relacions</w:t>
      </w:r>
      <w:proofErr w:type="spellEnd"/>
      <w:r w:rsidRPr="00640A47">
        <w:rPr>
          <w:rFonts w:cstheme="minorHAnsi"/>
        </w:rPr>
        <w:t xml:space="preserve"> paterno-</w:t>
      </w:r>
      <w:proofErr w:type="spellStart"/>
      <w:r w:rsidRPr="00640A47">
        <w:rPr>
          <w:rFonts w:cstheme="minorHAnsi"/>
        </w:rPr>
        <w:t>filials</w:t>
      </w:r>
      <w:proofErr w:type="spellEnd"/>
      <w:r w:rsidRPr="00640A47">
        <w:rPr>
          <w:rFonts w:cstheme="minorHAnsi"/>
        </w:rPr>
        <w:t xml:space="preserve"> de </w:t>
      </w:r>
      <w:proofErr w:type="spellStart"/>
      <w:r w:rsidRPr="00640A47">
        <w:rPr>
          <w:rFonts w:cstheme="minorHAnsi"/>
        </w:rPr>
        <w:t>fet</w:t>
      </w:r>
      <w:proofErr w:type="spellEnd"/>
      <w:r w:rsidRPr="00640A47">
        <w:rPr>
          <w:rFonts w:cstheme="minorHAnsi"/>
        </w:rPr>
        <w:t xml:space="preserve">”, </w:t>
      </w:r>
      <w:r w:rsidRPr="00640A47">
        <w:rPr>
          <w:rFonts w:cstheme="minorHAnsi"/>
          <w:i/>
        </w:rPr>
        <w:t xml:space="preserve">Revista Jurídica de Catalunya, </w:t>
      </w:r>
      <w:r w:rsidRPr="00640A47">
        <w:rPr>
          <w:rFonts w:cstheme="minorHAnsi"/>
        </w:rPr>
        <w:t xml:space="preserve">2005, p. 9 </w:t>
      </w:r>
      <w:proofErr w:type="spellStart"/>
      <w:r w:rsidRPr="00640A47">
        <w:rPr>
          <w:rFonts w:cstheme="minorHAnsi"/>
        </w:rPr>
        <w:t>ss</w:t>
      </w:r>
      <w:proofErr w:type="spellEnd"/>
      <w:r w:rsidRPr="00640A47">
        <w:rPr>
          <w:rFonts w:cstheme="minorHAnsi"/>
        </w:rPr>
        <w:t xml:space="preserve">; </w:t>
      </w:r>
      <w:proofErr w:type="spellStart"/>
      <w:r w:rsidRPr="00640A47">
        <w:rPr>
          <w:rFonts w:cstheme="minorHAnsi"/>
          <w:smallCaps/>
        </w:rPr>
        <w:t>Duplá</w:t>
      </w:r>
      <w:proofErr w:type="spellEnd"/>
      <w:r w:rsidRPr="00640A47">
        <w:rPr>
          <w:rFonts w:cstheme="minorHAnsi"/>
          <w:smallCaps/>
        </w:rPr>
        <w:t xml:space="preserve"> Marín</w:t>
      </w:r>
      <w:r w:rsidRPr="00640A47">
        <w:rPr>
          <w:rFonts w:cstheme="minorHAnsi"/>
        </w:rPr>
        <w:t xml:space="preserve">, </w:t>
      </w:r>
      <w:r w:rsidR="009412D6" w:rsidRPr="00640A47">
        <w:rPr>
          <w:rFonts w:cstheme="minorHAnsi"/>
        </w:rPr>
        <w:t>María Teresa</w:t>
      </w:r>
      <w:r w:rsidR="009412D6">
        <w:rPr>
          <w:rFonts w:cstheme="minorHAnsi"/>
        </w:rPr>
        <w:t>,</w:t>
      </w:r>
      <w:r w:rsidR="009412D6" w:rsidRPr="00640A47">
        <w:rPr>
          <w:rFonts w:cstheme="minorHAnsi"/>
        </w:rPr>
        <w:t xml:space="preserve"> </w:t>
      </w:r>
      <w:r w:rsidRPr="00640A47">
        <w:rPr>
          <w:rFonts w:cstheme="minorHAnsi"/>
        </w:rPr>
        <w:t xml:space="preserve">“La Regulación jurídica de las familias reconstituidas en Cataluña del proyecto del libro 2º del 2006 a la Ley 25/2010, de 29 de julio, de Libro 2º del Código Civil de Cataluña”, </w:t>
      </w:r>
      <w:r w:rsidRPr="00640A47">
        <w:rPr>
          <w:rFonts w:cstheme="minorHAnsi"/>
          <w:i/>
        </w:rPr>
        <w:t xml:space="preserve">Revista Jurídica de Catalunya, </w:t>
      </w:r>
      <w:r w:rsidRPr="00640A47">
        <w:rPr>
          <w:rFonts w:cstheme="minorHAnsi"/>
        </w:rPr>
        <w:t xml:space="preserve">2012, núm. 3, p. 601 </w:t>
      </w:r>
      <w:proofErr w:type="spellStart"/>
      <w:r w:rsidRPr="00640A47">
        <w:rPr>
          <w:rFonts w:cstheme="minorHAnsi"/>
        </w:rPr>
        <w:t>ss</w:t>
      </w:r>
      <w:proofErr w:type="spellEnd"/>
      <w:r w:rsidRPr="00640A47">
        <w:rPr>
          <w:rFonts w:cstheme="minorHAnsi"/>
        </w:rPr>
        <w:t xml:space="preserve">; </w:t>
      </w:r>
      <w:r w:rsidRPr="00640A47">
        <w:rPr>
          <w:rFonts w:cstheme="minorHAnsi"/>
          <w:smallCaps/>
        </w:rPr>
        <w:t>Navas Navarro</w:t>
      </w:r>
      <w:r w:rsidRPr="00640A47">
        <w:rPr>
          <w:rFonts w:cstheme="minorHAnsi"/>
        </w:rPr>
        <w:t xml:space="preserve">, </w:t>
      </w:r>
      <w:r w:rsidR="003322DE" w:rsidRPr="00640A47">
        <w:rPr>
          <w:rFonts w:cstheme="minorHAnsi"/>
        </w:rPr>
        <w:t>Susana</w:t>
      </w:r>
      <w:r w:rsidR="003322DE">
        <w:rPr>
          <w:rFonts w:cstheme="minorHAnsi"/>
        </w:rPr>
        <w:t>,</w:t>
      </w:r>
      <w:r w:rsidR="003322DE" w:rsidRPr="00640A47">
        <w:rPr>
          <w:rFonts w:cstheme="minorHAnsi"/>
        </w:rPr>
        <w:t xml:space="preserve"> </w:t>
      </w:r>
      <w:r w:rsidRPr="00640A47">
        <w:rPr>
          <w:rFonts w:cstheme="minorHAnsi"/>
        </w:rPr>
        <w:t xml:space="preserve">“Los derechos del menor en las familias reconstituidas. A propósito de los arts. 236-14 y 236-15 del libro segundo del CCC, relativo a la persona y la familia”, en Reyes Barrada Orellana, Martín Garrido Melero, Sergio Nasarre Aznar (coord.), </w:t>
      </w:r>
      <w:r w:rsidRPr="00640A47">
        <w:rPr>
          <w:rFonts w:cstheme="minorHAnsi"/>
          <w:i/>
        </w:rPr>
        <w:t>El nuevo derecho de la persona y de la familia (libro segundo del Código Civil de Cataluña)</w:t>
      </w:r>
      <w:r w:rsidRPr="00640A47">
        <w:rPr>
          <w:rFonts w:cstheme="minorHAnsi"/>
        </w:rPr>
        <w:t xml:space="preserve">, </w:t>
      </w:r>
      <w:r w:rsidR="009412D6">
        <w:rPr>
          <w:rFonts w:cstheme="minorHAnsi"/>
        </w:rPr>
        <w:t xml:space="preserve">Bosch, </w:t>
      </w:r>
      <w:r w:rsidRPr="00640A47">
        <w:rPr>
          <w:rFonts w:cstheme="minorHAnsi"/>
        </w:rPr>
        <w:t xml:space="preserve">Barcelona, 2011, p. 617 </w:t>
      </w:r>
      <w:proofErr w:type="spellStart"/>
      <w:r w:rsidRPr="00640A47">
        <w:rPr>
          <w:rFonts w:cstheme="minorHAnsi"/>
        </w:rPr>
        <w:t>ss</w:t>
      </w:r>
      <w:proofErr w:type="spellEnd"/>
      <w:r w:rsidRPr="00640A47">
        <w:rPr>
          <w:rFonts w:cstheme="minorHAnsi"/>
        </w:rPr>
        <w:t xml:space="preserve">; </w:t>
      </w:r>
      <w:r w:rsidRPr="009412D6">
        <w:rPr>
          <w:rFonts w:cstheme="minorHAnsi"/>
          <w:smallCaps/>
        </w:rPr>
        <w:t>Rivero Hernández</w:t>
      </w:r>
      <w:r w:rsidRPr="00640A47">
        <w:rPr>
          <w:rFonts w:cstheme="minorHAnsi"/>
        </w:rPr>
        <w:t xml:space="preserve">, </w:t>
      </w:r>
      <w:r w:rsidR="009412D6" w:rsidRPr="00640A47">
        <w:rPr>
          <w:rFonts w:cstheme="minorHAnsi"/>
        </w:rPr>
        <w:t>Francisco</w:t>
      </w:r>
      <w:r w:rsidR="009412D6">
        <w:rPr>
          <w:rFonts w:cstheme="minorHAnsi"/>
        </w:rPr>
        <w:t>,</w:t>
      </w:r>
      <w:r w:rsidR="009412D6" w:rsidRPr="00640A47">
        <w:rPr>
          <w:rFonts w:cstheme="minorHAnsi"/>
        </w:rPr>
        <w:t xml:space="preserve"> </w:t>
      </w:r>
      <w:r w:rsidRPr="00640A47">
        <w:rPr>
          <w:rFonts w:cstheme="minorHAnsi"/>
        </w:rPr>
        <w:t xml:space="preserve">“El </w:t>
      </w:r>
      <w:r w:rsidRPr="00640A47">
        <w:rPr>
          <w:rFonts w:cstheme="minorHAnsi"/>
          <w:i/>
        </w:rPr>
        <w:t xml:space="preserve">status </w:t>
      </w:r>
      <w:r w:rsidRPr="00640A47">
        <w:rPr>
          <w:rFonts w:cstheme="minorHAnsi"/>
        </w:rPr>
        <w:t>jurídico del padrastro/madrastra en el Código civil de Cataluña</w:t>
      </w:r>
      <w:r w:rsidRPr="00640A47">
        <w:rPr>
          <w:rFonts w:cstheme="minorHAnsi"/>
          <w:i/>
        </w:rPr>
        <w:t xml:space="preserve">, </w:t>
      </w:r>
      <w:r w:rsidRPr="00640A47">
        <w:rPr>
          <w:rFonts w:cstheme="minorHAnsi"/>
        </w:rPr>
        <w:t xml:space="preserve">en </w:t>
      </w:r>
      <w:r w:rsidRPr="00640A47">
        <w:rPr>
          <w:rFonts w:cstheme="minorHAnsi"/>
          <w:i/>
        </w:rPr>
        <w:t xml:space="preserve">Estudios Jurídicos en homenaje a Vicente L. Montés </w:t>
      </w:r>
      <w:proofErr w:type="spellStart"/>
      <w:r w:rsidRPr="00640A47">
        <w:rPr>
          <w:rFonts w:cstheme="minorHAnsi"/>
          <w:i/>
        </w:rPr>
        <w:t>Penadés</w:t>
      </w:r>
      <w:proofErr w:type="spellEnd"/>
      <w:r w:rsidRPr="00640A47">
        <w:rPr>
          <w:rFonts w:cstheme="minorHAnsi"/>
          <w:i/>
        </w:rPr>
        <w:t xml:space="preserve">, </w:t>
      </w:r>
      <w:r w:rsidR="009412D6">
        <w:rPr>
          <w:rFonts w:cstheme="minorHAnsi"/>
        </w:rPr>
        <w:t xml:space="preserve">Tirant lo Blanch, </w:t>
      </w:r>
      <w:r w:rsidRPr="00640A47">
        <w:rPr>
          <w:rFonts w:cstheme="minorHAnsi"/>
        </w:rPr>
        <w:t xml:space="preserve">Valencia, 2011, p. 2187 </w:t>
      </w:r>
      <w:proofErr w:type="spellStart"/>
      <w:r w:rsidRPr="00640A47">
        <w:rPr>
          <w:rFonts w:cstheme="minorHAnsi"/>
        </w:rPr>
        <w:t>ss</w:t>
      </w:r>
      <w:proofErr w:type="spellEnd"/>
      <w:r w:rsidRPr="00640A47">
        <w:rPr>
          <w:rFonts w:cstheme="minorHAnsi"/>
        </w:rPr>
        <w:t xml:space="preserve">; </w:t>
      </w:r>
      <w:r w:rsidRPr="00640A47">
        <w:rPr>
          <w:rFonts w:cstheme="minorHAnsi"/>
          <w:smallCaps/>
        </w:rPr>
        <w:t>Tamayo Haya</w:t>
      </w:r>
      <w:r w:rsidRPr="00640A47">
        <w:rPr>
          <w:rFonts w:cstheme="minorHAnsi"/>
        </w:rPr>
        <w:t xml:space="preserve">, </w:t>
      </w:r>
      <w:r w:rsidR="009412D6" w:rsidRPr="00640A47">
        <w:rPr>
          <w:rFonts w:cstheme="minorHAnsi"/>
        </w:rPr>
        <w:t>Silvia</w:t>
      </w:r>
      <w:r w:rsidR="009412D6">
        <w:rPr>
          <w:rFonts w:cstheme="minorHAnsi"/>
        </w:rPr>
        <w:t>,</w:t>
      </w:r>
      <w:r w:rsidR="009412D6" w:rsidRPr="00640A47">
        <w:rPr>
          <w:rFonts w:cstheme="minorHAnsi"/>
        </w:rPr>
        <w:t xml:space="preserve"> </w:t>
      </w:r>
      <w:r w:rsidRPr="00640A47">
        <w:rPr>
          <w:rFonts w:cstheme="minorHAnsi"/>
          <w:i/>
        </w:rPr>
        <w:t>El estatuto jurídico de los padrastros: Nuevas perspectivas jurídicas</w:t>
      </w:r>
      <w:r w:rsidRPr="00640A47">
        <w:rPr>
          <w:rFonts w:cstheme="minorHAnsi"/>
        </w:rPr>
        <w:t xml:space="preserve">, Madrid, 2011; id., “El reconocimiento por el derecho de las familias recompuestas”, en Ramón Herrera Campos, Miguel Á. Barrientos Ruiz (coord.), </w:t>
      </w:r>
      <w:r w:rsidR="009412D6">
        <w:rPr>
          <w:rFonts w:cstheme="minorHAnsi"/>
        </w:rPr>
        <w:t xml:space="preserve">Universidad de Almería, </w:t>
      </w:r>
      <w:r w:rsidRPr="00640A47">
        <w:rPr>
          <w:rFonts w:cstheme="minorHAnsi"/>
          <w:i/>
        </w:rPr>
        <w:t xml:space="preserve">Derecho y familia en el siglo XXI, </w:t>
      </w:r>
      <w:r w:rsidRPr="00640A47">
        <w:rPr>
          <w:rFonts w:cstheme="minorHAnsi"/>
        </w:rPr>
        <w:t>2011, p. 147</w:t>
      </w:r>
      <w:r w:rsidR="00087310" w:rsidRPr="00640A47">
        <w:rPr>
          <w:rFonts w:cstheme="minorHAnsi"/>
        </w:rPr>
        <w:t xml:space="preserve"> ss</w:t>
      </w:r>
      <w:r w:rsidRPr="00640A47">
        <w:rPr>
          <w:rFonts w:cstheme="minorHAnsi"/>
        </w:rPr>
        <w:t>.</w:t>
      </w:r>
    </w:p>
  </w:footnote>
  <w:footnote w:id="8">
    <w:p w:rsidR="00BB4C87" w:rsidRPr="00640A47" w:rsidRDefault="00BB4C87" w:rsidP="00171454">
      <w:pPr>
        <w:pStyle w:val="Textonotapie"/>
        <w:jc w:val="both"/>
        <w:rPr>
          <w:rFonts w:cstheme="minorHAnsi"/>
        </w:rPr>
      </w:pPr>
      <w:r w:rsidRPr="00640A47">
        <w:rPr>
          <w:rStyle w:val="Refdenotaalpie"/>
          <w:rFonts w:cstheme="minorHAnsi"/>
        </w:rPr>
        <w:footnoteRef/>
      </w:r>
      <w:r w:rsidRPr="00640A47">
        <w:rPr>
          <w:rFonts w:cstheme="minorHAnsi"/>
        </w:rPr>
        <w:t xml:space="preserve"> No solo eso, sino que la jurisprudencia ya ha debido adaptar el derecho a las nuevas realidades familiares. En el caso de la STSJ de Cataluña de 7 de julio de 2014 (</w:t>
      </w:r>
      <w:proofErr w:type="spellStart"/>
      <w:r w:rsidRPr="00640A47">
        <w:rPr>
          <w:rFonts w:cstheme="minorHAnsi"/>
        </w:rPr>
        <w:t>Roj</w:t>
      </w:r>
      <w:proofErr w:type="spellEnd"/>
      <w:r w:rsidRPr="00640A47">
        <w:rPr>
          <w:rFonts w:cstheme="minorHAnsi"/>
        </w:rPr>
        <w:t xml:space="preserve">: STSJ CAT 7770/2014) se pretendía la venta de un piso propiedad de un menor de edad prestando como consentimiento único, para esta venta, el consentimiento de la familia materna del menor al tratarse de una familia monoparental. Una vez realizada la venta, al tratar de inscribirla en el Registro de Propiedad, la registradora acuerda la suspensión de la inscripción ya que entiende que el consentimiento prestado por solo una línea de parientes del menor no es suficiente, ya que la enajenación de bienes inmuebles propiedad de menores de edad requiere el consentimiento de las dos líneas de parientes más próximos del menor, por lo que insta a acudir a la autoridad judicial para conseguir el consentimiento para la trasmisión del inmueble, tal como exigía el art. 138.2 del Código de Familia. El TSJ destaca en su sentencia esta problemática de adaptar los nuevos modelos de familia a las instituciones jurídicas basadas en la familia nuclear: «El </w:t>
      </w:r>
      <w:proofErr w:type="spellStart"/>
      <w:r w:rsidRPr="00640A47">
        <w:rPr>
          <w:rFonts w:cstheme="minorHAnsi"/>
        </w:rPr>
        <w:t>Codi</w:t>
      </w:r>
      <w:proofErr w:type="spellEnd"/>
      <w:r w:rsidRPr="00640A47">
        <w:rPr>
          <w:rFonts w:cstheme="minorHAnsi"/>
        </w:rPr>
        <w:t xml:space="preserve"> de </w:t>
      </w:r>
      <w:proofErr w:type="spellStart"/>
      <w:r w:rsidRPr="00640A47">
        <w:rPr>
          <w:rFonts w:cstheme="minorHAnsi"/>
        </w:rPr>
        <w:t>Família</w:t>
      </w:r>
      <w:proofErr w:type="spellEnd"/>
      <w:r w:rsidRPr="00640A47">
        <w:rPr>
          <w:rFonts w:cstheme="minorHAnsi"/>
        </w:rPr>
        <w:t xml:space="preserve">, i </w:t>
      </w:r>
      <w:proofErr w:type="spellStart"/>
      <w:r w:rsidRPr="00640A47">
        <w:rPr>
          <w:rFonts w:cstheme="minorHAnsi"/>
        </w:rPr>
        <w:t>tampoc</w:t>
      </w:r>
      <w:proofErr w:type="spellEnd"/>
      <w:r w:rsidRPr="00640A47">
        <w:rPr>
          <w:rFonts w:cstheme="minorHAnsi"/>
        </w:rPr>
        <w:t xml:space="preserve"> </w:t>
      </w:r>
      <w:proofErr w:type="spellStart"/>
      <w:r w:rsidRPr="00640A47">
        <w:rPr>
          <w:rFonts w:cstheme="minorHAnsi"/>
        </w:rPr>
        <w:t>ho</w:t>
      </w:r>
      <w:proofErr w:type="spellEnd"/>
      <w:r w:rsidRPr="00640A47">
        <w:rPr>
          <w:rFonts w:cstheme="minorHAnsi"/>
        </w:rPr>
        <w:t xml:space="preserve"> </w:t>
      </w:r>
      <w:proofErr w:type="spellStart"/>
      <w:r w:rsidRPr="00640A47">
        <w:rPr>
          <w:rFonts w:cstheme="minorHAnsi"/>
        </w:rPr>
        <w:t>preveu</w:t>
      </w:r>
      <w:proofErr w:type="spellEnd"/>
      <w:r w:rsidRPr="00640A47">
        <w:rPr>
          <w:rFonts w:cstheme="minorHAnsi"/>
        </w:rPr>
        <w:t xml:space="preserve"> el </w:t>
      </w:r>
      <w:proofErr w:type="spellStart"/>
      <w:r w:rsidRPr="00640A47">
        <w:rPr>
          <w:rFonts w:cstheme="minorHAnsi"/>
        </w:rPr>
        <w:t>llibre</w:t>
      </w:r>
      <w:proofErr w:type="spellEnd"/>
      <w:r w:rsidRPr="00640A47">
        <w:rPr>
          <w:rFonts w:cstheme="minorHAnsi"/>
        </w:rPr>
        <w:t xml:space="preserve"> </w:t>
      </w:r>
      <w:proofErr w:type="spellStart"/>
      <w:r w:rsidRPr="00640A47">
        <w:rPr>
          <w:rFonts w:cstheme="minorHAnsi"/>
        </w:rPr>
        <w:t>segon</w:t>
      </w:r>
      <w:proofErr w:type="spellEnd"/>
      <w:r w:rsidRPr="00640A47">
        <w:rPr>
          <w:rFonts w:cstheme="minorHAnsi"/>
        </w:rPr>
        <w:t xml:space="preserve"> del </w:t>
      </w:r>
      <w:proofErr w:type="spellStart"/>
      <w:r w:rsidRPr="00640A47">
        <w:rPr>
          <w:rFonts w:cstheme="minorHAnsi"/>
        </w:rPr>
        <w:t>CCCat</w:t>
      </w:r>
      <w:proofErr w:type="spellEnd"/>
      <w:r w:rsidRPr="00640A47">
        <w:rPr>
          <w:rFonts w:cstheme="minorHAnsi"/>
        </w:rPr>
        <w:t xml:space="preserve"> (cfr. Arts. 236-30), en </w:t>
      </w:r>
      <w:proofErr w:type="spellStart"/>
      <w:r w:rsidRPr="00640A47">
        <w:rPr>
          <w:rFonts w:cstheme="minorHAnsi"/>
        </w:rPr>
        <w:t>funció</w:t>
      </w:r>
      <w:proofErr w:type="spellEnd"/>
      <w:r w:rsidRPr="00640A47">
        <w:rPr>
          <w:rFonts w:cstheme="minorHAnsi"/>
        </w:rPr>
        <w:t xml:space="preserve"> de la </w:t>
      </w:r>
      <w:proofErr w:type="spellStart"/>
      <w:r w:rsidRPr="00640A47">
        <w:rPr>
          <w:rFonts w:cstheme="minorHAnsi"/>
        </w:rPr>
        <w:t>remissió</w:t>
      </w:r>
      <w:proofErr w:type="spellEnd"/>
      <w:r w:rsidRPr="00640A47">
        <w:rPr>
          <w:rFonts w:cstheme="minorHAnsi"/>
        </w:rPr>
        <w:t xml:space="preserve"> a la normativa </w:t>
      </w:r>
      <w:proofErr w:type="spellStart"/>
      <w:r w:rsidRPr="00640A47">
        <w:rPr>
          <w:rFonts w:cstheme="minorHAnsi"/>
        </w:rPr>
        <w:t>successòria</w:t>
      </w:r>
      <w:proofErr w:type="spellEnd"/>
      <w:r w:rsidRPr="00640A47">
        <w:rPr>
          <w:rFonts w:cstheme="minorHAnsi"/>
        </w:rPr>
        <w:t xml:space="preserve">, </w:t>
      </w:r>
      <w:proofErr w:type="spellStart"/>
      <w:r w:rsidRPr="00640A47">
        <w:rPr>
          <w:rFonts w:cstheme="minorHAnsi"/>
        </w:rPr>
        <w:t>requereix</w:t>
      </w:r>
      <w:proofErr w:type="spellEnd"/>
      <w:r w:rsidRPr="00640A47">
        <w:rPr>
          <w:rFonts w:cstheme="minorHAnsi"/>
        </w:rPr>
        <w:t xml:space="preserve"> per </w:t>
      </w:r>
      <w:proofErr w:type="spellStart"/>
      <w:r w:rsidRPr="00640A47">
        <w:rPr>
          <w:rFonts w:cstheme="minorHAnsi"/>
        </w:rPr>
        <w:t>l'autorització</w:t>
      </w:r>
      <w:proofErr w:type="spellEnd"/>
      <w:r w:rsidRPr="00640A47">
        <w:rPr>
          <w:rFonts w:cstheme="minorHAnsi"/>
        </w:rPr>
        <w:t xml:space="preserve"> alternativa el </w:t>
      </w:r>
      <w:proofErr w:type="spellStart"/>
      <w:r w:rsidRPr="00640A47">
        <w:rPr>
          <w:rFonts w:cstheme="minorHAnsi"/>
        </w:rPr>
        <w:t>consentiment</w:t>
      </w:r>
      <w:proofErr w:type="spellEnd"/>
      <w:r w:rsidRPr="00640A47">
        <w:rPr>
          <w:rFonts w:cstheme="minorHAnsi"/>
        </w:rPr>
        <w:t xml:space="preserve"> </w:t>
      </w:r>
      <w:proofErr w:type="spellStart"/>
      <w:r w:rsidRPr="00640A47">
        <w:rPr>
          <w:rFonts w:cstheme="minorHAnsi"/>
        </w:rPr>
        <w:t>dels</w:t>
      </w:r>
      <w:proofErr w:type="spellEnd"/>
      <w:r w:rsidRPr="00640A47">
        <w:rPr>
          <w:rFonts w:cstheme="minorHAnsi"/>
        </w:rPr>
        <w:t xml:space="preserve"> dos </w:t>
      </w:r>
      <w:proofErr w:type="spellStart"/>
      <w:r w:rsidRPr="00640A47">
        <w:rPr>
          <w:rFonts w:cstheme="minorHAnsi"/>
        </w:rPr>
        <w:t>parents</w:t>
      </w:r>
      <w:proofErr w:type="spellEnd"/>
      <w:r w:rsidRPr="00640A47">
        <w:rPr>
          <w:rFonts w:cstheme="minorHAnsi"/>
        </w:rPr>
        <w:t xml:space="preserve"> </w:t>
      </w:r>
      <w:proofErr w:type="spellStart"/>
      <w:r w:rsidRPr="00640A47">
        <w:rPr>
          <w:rFonts w:cstheme="minorHAnsi"/>
        </w:rPr>
        <w:t>més</w:t>
      </w:r>
      <w:proofErr w:type="spellEnd"/>
      <w:r w:rsidRPr="00640A47">
        <w:rPr>
          <w:rFonts w:cstheme="minorHAnsi"/>
        </w:rPr>
        <w:t xml:space="preserve"> </w:t>
      </w:r>
      <w:proofErr w:type="spellStart"/>
      <w:r w:rsidRPr="00640A47">
        <w:rPr>
          <w:rFonts w:cstheme="minorHAnsi"/>
        </w:rPr>
        <w:t>pròxims</w:t>
      </w:r>
      <w:proofErr w:type="spellEnd"/>
      <w:r w:rsidRPr="00640A47">
        <w:rPr>
          <w:rFonts w:cstheme="minorHAnsi"/>
        </w:rPr>
        <w:t xml:space="preserve"> </w:t>
      </w:r>
      <w:proofErr w:type="spellStart"/>
      <w:r w:rsidRPr="00640A47">
        <w:rPr>
          <w:rFonts w:cstheme="minorHAnsi"/>
        </w:rPr>
        <w:t>dels</w:t>
      </w:r>
      <w:proofErr w:type="spellEnd"/>
      <w:r w:rsidRPr="00640A47">
        <w:rPr>
          <w:rFonts w:cstheme="minorHAnsi"/>
        </w:rPr>
        <w:t xml:space="preserve"> </w:t>
      </w:r>
      <w:proofErr w:type="spellStart"/>
      <w:r w:rsidRPr="00640A47">
        <w:rPr>
          <w:rFonts w:cstheme="minorHAnsi"/>
        </w:rPr>
        <w:t>fills</w:t>
      </w:r>
      <w:proofErr w:type="spellEnd"/>
      <w:r w:rsidRPr="00640A47">
        <w:rPr>
          <w:rFonts w:cstheme="minorHAnsi"/>
        </w:rPr>
        <w:t xml:space="preserve">, </w:t>
      </w:r>
      <w:proofErr w:type="spellStart"/>
      <w:r w:rsidRPr="00640A47">
        <w:rPr>
          <w:rFonts w:cstheme="minorHAnsi"/>
        </w:rPr>
        <w:t>un</w:t>
      </w:r>
      <w:proofErr w:type="spellEnd"/>
      <w:r w:rsidRPr="00640A47">
        <w:rPr>
          <w:rFonts w:cstheme="minorHAnsi"/>
        </w:rPr>
        <w:t xml:space="preserve"> de cada branca o </w:t>
      </w:r>
      <w:proofErr w:type="spellStart"/>
      <w:r w:rsidRPr="00640A47">
        <w:rPr>
          <w:rFonts w:cstheme="minorHAnsi"/>
        </w:rPr>
        <w:t>línia</w:t>
      </w:r>
      <w:proofErr w:type="spellEnd"/>
      <w:r w:rsidRPr="00640A47">
        <w:rPr>
          <w:rFonts w:cstheme="minorHAnsi"/>
        </w:rPr>
        <w:t xml:space="preserve">, </w:t>
      </w:r>
      <w:proofErr w:type="spellStart"/>
      <w:r w:rsidRPr="00640A47">
        <w:rPr>
          <w:rFonts w:cstheme="minorHAnsi"/>
        </w:rPr>
        <w:t>però</w:t>
      </w:r>
      <w:proofErr w:type="spellEnd"/>
      <w:r w:rsidRPr="00640A47">
        <w:rPr>
          <w:rFonts w:cstheme="minorHAnsi"/>
        </w:rPr>
        <w:t xml:space="preserve"> no es </w:t>
      </w:r>
      <w:proofErr w:type="spellStart"/>
      <w:r w:rsidRPr="00640A47">
        <w:rPr>
          <w:rFonts w:cstheme="minorHAnsi"/>
        </w:rPr>
        <w:t>planteja</w:t>
      </w:r>
      <w:proofErr w:type="spellEnd"/>
      <w:r w:rsidRPr="00640A47">
        <w:rPr>
          <w:rFonts w:cstheme="minorHAnsi"/>
        </w:rPr>
        <w:t xml:space="preserve"> quina </w:t>
      </w:r>
      <w:proofErr w:type="spellStart"/>
      <w:r w:rsidRPr="00640A47">
        <w:rPr>
          <w:rFonts w:cstheme="minorHAnsi"/>
        </w:rPr>
        <w:t>és</w:t>
      </w:r>
      <w:proofErr w:type="spellEnd"/>
      <w:r w:rsidRPr="00640A47">
        <w:rPr>
          <w:rFonts w:cstheme="minorHAnsi"/>
        </w:rPr>
        <w:t xml:space="preserve"> la </w:t>
      </w:r>
      <w:proofErr w:type="spellStart"/>
      <w:r w:rsidRPr="00640A47">
        <w:rPr>
          <w:rFonts w:cstheme="minorHAnsi"/>
        </w:rPr>
        <w:t>resposta</w:t>
      </w:r>
      <w:proofErr w:type="spellEnd"/>
      <w:r w:rsidRPr="00640A47">
        <w:rPr>
          <w:rFonts w:cstheme="minorHAnsi"/>
        </w:rPr>
        <w:t xml:space="preserve"> que cal adoptar </w:t>
      </w:r>
      <w:proofErr w:type="spellStart"/>
      <w:r w:rsidRPr="00640A47">
        <w:rPr>
          <w:rFonts w:cstheme="minorHAnsi"/>
        </w:rPr>
        <w:t>quan</w:t>
      </w:r>
      <w:proofErr w:type="spellEnd"/>
      <w:r w:rsidRPr="00640A47">
        <w:rPr>
          <w:rFonts w:cstheme="minorHAnsi"/>
        </w:rPr>
        <w:t xml:space="preserve"> es </w:t>
      </w:r>
      <w:proofErr w:type="spellStart"/>
      <w:r w:rsidRPr="00640A47">
        <w:rPr>
          <w:rFonts w:cstheme="minorHAnsi"/>
        </w:rPr>
        <w:t>tracti</w:t>
      </w:r>
      <w:proofErr w:type="spellEnd"/>
      <w:r w:rsidRPr="00640A47">
        <w:rPr>
          <w:rFonts w:cstheme="minorHAnsi"/>
        </w:rPr>
        <w:t xml:space="preserve"> </w:t>
      </w:r>
      <w:proofErr w:type="spellStart"/>
      <w:r w:rsidRPr="00640A47">
        <w:rPr>
          <w:rFonts w:cstheme="minorHAnsi"/>
        </w:rPr>
        <w:t>d'una</w:t>
      </w:r>
      <w:proofErr w:type="spellEnd"/>
      <w:r w:rsidRPr="00640A47">
        <w:rPr>
          <w:rFonts w:cstheme="minorHAnsi"/>
        </w:rPr>
        <w:t xml:space="preserve"> </w:t>
      </w:r>
      <w:proofErr w:type="spellStart"/>
      <w:r w:rsidRPr="00640A47">
        <w:rPr>
          <w:rFonts w:cstheme="minorHAnsi"/>
        </w:rPr>
        <w:t>família</w:t>
      </w:r>
      <w:proofErr w:type="spellEnd"/>
      <w:r w:rsidRPr="00640A47">
        <w:rPr>
          <w:rFonts w:cstheme="minorHAnsi"/>
        </w:rPr>
        <w:t xml:space="preserve"> monoparental”. Y concluye que “</w:t>
      </w:r>
      <w:proofErr w:type="spellStart"/>
      <w:r w:rsidRPr="00640A47">
        <w:rPr>
          <w:rFonts w:cstheme="minorHAnsi"/>
        </w:rPr>
        <w:t>quan</w:t>
      </w:r>
      <w:proofErr w:type="spellEnd"/>
      <w:r w:rsidRPr="00640A47">
        <w:rPr>
          <w:rFonts w:cstheme="minorHAnsi"/>
        </w:rPr>
        <w:t xml:space="preserve"> les </w:t>
      </w:r>
      <w:proofErr w:type="spellStart"/>
      <w:r w:rsidRPr="00640A47">
        <w:rPr>
          <w:rFonts w:cstheme="minorHAnsi"/>
        </w:rPr>
        <w:t>dues</w:t>
      </w:r>
      <w:proofErr w:type="spellEnd"/>
      <w:r w:rsidRPr="00640A47">
        <w:rPr>
          <w:rFonts w:cstheme="minorHAnsi"/>
        </w:rPr>
        <w:t xml:space="preserve"> </w:t>
      </w:r>
      <w:proofErr w:type="spellStart"/>
      <w:r w:rsidRPr="00640A47">
        <w:rPr>
          <w:rFonts w:cstheme="minorHAnsi"/>
        </w:rPr>
        <w:t>línies</w:t>
      </w:r>
      <w:proofErr w:type="spellEnd"/>
      <w:r w:rsidRPr="00640A47">
        <w:rPr>
          <w:rFonts w:cstheme="minorHAnsi"/>
        </w:rPr>
        <w:t xml:space="preserve"> </w:t>
      </w:r>
      <w:proofErr w:type="spellStart"/>
      <w:r w:rsidRPr="00640A47">
        <w:rPr>
          <w:rFonts w:cstheme="minorHAnsi"/>
        </w:rPr>
        <w:t>familiars</w:t>
      </w:r>
      <w:proofErr w:type="spellEnd"/>
      <w:r w:rsidRPr="00640A47">
        <w:rPr>
          <w:rFonts w:cstheme="minorHAnsi"/>
        </w:rPr>
        <w:t xml:space="preserve"> no </w:t>
      </w:r>
      <w:proofErr w:type="spellStart"/>
      <w:r w:rsidRPr="00640A47">
        <w:rPr>
          <w:rFonts w:cstheme="minorHAnsi"/>
        </w:rPr>
        <w:t>existeixen</w:t>
      </w:r>
      <w:proofErr w:type="spellEnd"/>
      <w:r w:rsidRPr="00640A47">
        <w:rPr>
          <w:rFonts w:cstheme="minorHAnsi"/>
        </w:rPr>
        <w:t xml:space="preserve"> (</w:t>
      </w:r>
      <w:proofErr w:type="spellStart"/>
      <w:r w:rsidRPr="00640A47">
        <w:rPr>
          <w:rFonts w:cstheme="minorHAnsi"/>
        </w:rPr>
        <w:t>famílies</w:t>
      </w:r>
      <w:proofErr w:type="spellEnd"/>
      <w:r w:rsidRPr="00640A47">
        <w:rPr>
          <w:rFonts w:cstheme="minorHAnsi"/>
        </w:rPr>
        <w:t xml:space="preserve"> </w:t>
      </w:r>
      <w:proofErr w:type="spellStart"/>
      <w:r w:rsidRPr="00640A47">
        <w:rPr>
          <w:rFonts w:cstheme="minorHAnsi"/>
        </w:rPr>
        <w:t>monoparentals</w:t>
      </w:r>
      <w:proofErr w:type="spellEnd"/>
      <w:r w:rsidRPr="00640A47">
        <w:rPr>
          <w:rFonts w:cstheme="minorHAnsi"/>
        </w:rPr>
        <w:t xml:space="preserve">) o </w:t>
      </w:r>
      <w:proofErr w:type="spellStart"/>
      <w:r w:rsidRPr="00640A47">
        <w:rPr>
          <w:rFonts w:cstheme="minorHAnsi"/>
        </w:rPr>
        <w:t>bé</w:t>
      </w:r>
      <w:proofErr w:type="spellEnd"/>
      <w:r w:rsidRPr="00640A47">
        <w:rPr>
          <w:rFonts w:cstheme="minorHAnsi"/>
        </w:rPr>
        <w:t xml:space="preserve"> no </w:t>
      </w:r>
      <w:proofErr w:type="spellStart"/>
      <w:r w:rsidRPr="00640A47">
        <w:rPr>
          <w:rFonts w:cstheme="minorHAnsi"/>
        </w:rPr>
        <w:t>existeixen</w:t>
      </w:r>
      <w:proofErr w:type="spellEnd"/>
      <w:r w:rsidRPr="00640A47">
        <w:rPr>
          <w:rFonts w:cstheme="minorHAnsi"/>
        </w:rPr>
        <w:t xml:space="preserve"> </w:t>
      </w:r>
      <w:proofErr w:type="spellStart"/>
      <w:r w:rsidRPr="00640A47">
        <w:rPr>
          <w:rFonts w:cstheme="minorHAnsi"/>
        </w:rPr>
        <w:t>parents</w:t>
      </w:r>
      <w:proofErr w:type="spellEnd"/>
      <w:r w:rsidRPr="00640A47">
        <w:rPr>
          <w:rFonts w:cstheme="minorHAnsi"/>
        </w:rPr>
        <w:t xml:space="preserve"> en una de les </w:t>
      </w:r>
      <w:proofErr w:type="spellStart"/>
      <w:r w:rsidRPr="00640A47">
        <w:rPr>
          <w:rFonts w:cstheme="minorHAnsi"/>
        </w:rPr>
        <w:t>línies</w:t>
      </w:r>
      <w:proofErr w:type="spellEnd"/>
      <w:r w:rsidRPr="00640A47">
        <w:rPr>
          <w:rFonts w:cstheme="minorHAnsi"/>
        </w:rPr>
        <w:t xml:space="preserve">, </w:t>
      </w:r>
      <w:proofErr w:type="spellStart"/>
      <w:r w:rsidRPr="00640A47">
        <w:rPr>
          <w:rFonts w:cstheme="minorHAnsi"/>
        </w:rPr>
        <w:t>existeix</w:t>
      </w:r>
      <w:proofErr w:type="spellEnd"/>
      <w:r w:rsidRPr="00640A47">
        <w:rPr>
          <w:rFonts w:cstheme="minorHAnsi"/>
        </w:rPr>
        <w:t xml:space="preserve"> la </w:t>
      </w:r>
      <w:proofErr w:type="spellStart"/>
      <w:r w:rsidRPr="00640A47">
        <w:rPr>
          <w:rFonts w:cstheme="minorHAnsi"/>
        </w:rPr>
        <w:t>mateixa</w:t>
      </w:r>
      <w:proofErr w:type="spellEnd"/>
      <w:r w:rsidRPr="00640A47">
        <w:rPr>
          <w:rFonts w:cstheme="minorHAnsi"/>
        </w:rPr>
        <w:t xml:space="preserve"> raó per a aplicar la norma i integrar </w:t>
      </w:r>
      <w:proofErr w:type="spellStart"/>
      <w:r w:rsidRPr="00640A47">
        <w:rPr>
          <w:rFonts w:cstheme="minorHAnsi"/>
        </w:rPr>
        <w:t>aquesta</w:t>
      </w:r>
      <w:proofErr w:type="spellEnd"/>
      <w:r w:rsidRPr="00640A47">
        <w:rPr>
          <w:rFonts w:cstheme="minorHAnsi"/>
        </w:rPr>
        <w:t xml:space="preserve"> </w:t>
      </w:r>
      <w:proofErr w:type="spellStart"/>
      <w:r w:rsidRPr="00640A47">
        <w:rPr>
          <w:rFonts w:cstheme="minorHAnsi"/>
        </w:rPr>
        <w:t>llacuna</w:t>
      </w:r>
      <w:proofErr w:type="spellEnd"/>
      <w:r w:rsidRPr="00640A47">
        <w:rPr>
          <w:rFonts w:cstheme="minorHAnsi"/>
        </w:rPr>
        <w:t xml:space="preserve"> legal, </w:t>
      </w:r>
      <w:proofErr w:type="spellStart"/>
      <w:r w:rsidRPr="00640A47">
        <w:rPr>
          <w:rFonts w:cstheme="minorHAnsi"/>
        </w:rPr>
        <w:t>entenent</w:t>
      </w:r>
      <w:proofErr w:type="spellEnd"/>
      <w:r w:rsidRPr="00640A47">
        <w:rPr>
          <w:rFonts w:cstheme="minorHAnsi"/>
        </w:rPr>
        <w:t xml:space="preserve"> que en </w:t>
      </w:r>
      <w:proofErr w:type="spellStart"/>
      <w:r w:rsidRPr="00640A47">
        <w:rPr>
          <w:rFonts w:cstheme="minorHAnsi"/>
        </w:rPr>
        <w:t>aquests</w:t>
      </w:r>
      <w:proofErr w:type="spellEnd"/>
      <w:r w:rsidRPr="00640A47">
        <w:rPr>
          <w:rFonts w:cstheme="minorHAnsi"/>
        </w:rPr>
        <w:t xml:space="preserve"> casos </w:t>
      </w:r>
      <w:proofErr w:type="spellStart"/>
      <w:r w:rsidRPr="00640A47">
        <w:rPr>
          <w:rFonts w:cstheme="minorHAnsi"/>
        </w:rPr>
        <w:t>els</w:t>
      </w:r>
      <w:proofErr w:type="spellEnd"/>
      <w:r w:rsidRPr="00640A47">
        <w:rPr>
          <w:rFonts w:cstheme="minorHAnsi"/>
        </w:rPr>
        <w:t xml:space="preserve"> dos </w:t>
      </w:r>
      <w:proofErr w:type="spellStart"/>
      <w:r w:rsidRPr="00640A47">
        <w:rPr>
          <w:rFonts w:cstheme="minorHAnsi"/>
        </w:rPr>
        <w:t>parents</w:t>
      </w:r>
      <w:proofErr w:type="spellEnd"/>
      <w:r w:rsidRPr="00640A47">
        <w:rPr>
          <w:rFonts w:cstheme="minorHAnsi"/>
        </w:rPr>
        <w:t xml:space="preserve"> </w:t>
      </w:r>
      <w:proofErr w:type="spellStart"/>
      <w:r w:rsidRPr="00640A47">
        <w:rPr>
          <w:rFonts w:cstheme="minorHAnsi"/>
        </w:rPr>
        <w:t>més</w:t>
      </w:r>
      <w:proofErr w:type="spellEnd"/>
      <w:r w:rsidRPr="00640A47">
        <w:rPr>
          <w:rFonts w:cstheme="minorHAnsi"/>
        </w:rPr>
        <w:t xml:space="preserve"> </w:t>
      </w:r>
      <w:proofErr w:type="spellStart"/>
      <w:r w:rsidRPr="00640A47">
        <w:rPr>
          <w:rFonts w:cstheme="minorHAnsi"/>
        </w:rPr>
        <w:t>pròxims</w:t>
      </w:r>
      <w:proofErr w:type="spellEnd"/>
      <w:r w:rsidRPr="00640A47">
        <w:rPr>
          <w:rFonts w:cstheme="minorHAnsi"/>
        </w:rPr>
        <w:t xml:space="preserve"> </w:t>
      </w:r>
      <w:proofErr w:type="spellStart"/>
      <w:r w:rsidRPr="00640A47">
        <w:rPr>
          <w:rFonts w:cstheme="minorHAnsi"/>
        </w:rPr>
        <w:t>ho</w:t>
      </w:r>
      <w:proofErr w:type="spellEnd"/>
      <w:r w:rsidRPr="00640A47">
        <w:rPr>
          <w:rFonts w:cstheme="minorHAnsi"/>
        </w:rPr>
        <w:t xml:space="preserve"> han de ser de la única </w:t>
      </w:r>
      <w:proofErr w:type="spellStart"/>
      <w:r w:rsidRPr="00640A47">
        <w:rPr>
          <w:rFonts w:cstheme="minorHAnsi"/>
        </w:rPr>
        <w:t>línia</w:t>
      </w:r>
      <w:proofErr w:type="spellEnd"/>
      <w:r w:rsidRPr="00640A47">
        <w:rPr>
          <w:rFonts w:cstheme="minorHAnsi"/>
        </w:rPr>
        <w:t xml:space="preserve"> </w:t>
      </w:r>
      <w:proofErr w:type="spellStart"/>
      <w:r w:rsidRPr="00640A47">
        <w:rPr>
          <w:rFonts w:cstheme="minorHAnsi"/>
        </w:rPr>
        <w:t>existent</w:t>
      </w:r>
      <w:proofErr w:type="spellEnd"/>
      <w:r w:rsidRPr="00640A47">
        <w:rPr>
          <w:rFonts w:cstheme="minorHAnsi"/>
        </w:rPr>
        <w:t xml:space="preserve"> o de la </w:t>
      </w:r>
      <w:proofErr w:type="spellStart"/>
      <w:r w:rsidRPr="00640A47">
        <w:rPr>
          <w:rFonts w:cstheme="minorHAnsi"/>
        </w:rPr>
        <w:t>línia</w:t>
      </w:r>
      <w:proofErr w:type="spellEnd"/>
      <w:r w:rsidRPr="00640A47">
        <w:rPr>
          <w:rFonts w:cstheme="minorHAnsi"/>
        </w:rPr>
        <w:t xml:space="preserve"> en la </w:t>
      </w:r>
      <w:proofErr w:type="spellStart"/>
      <w:r w:rsidRPr="00640A47">
        <w:rPr>
          <w:rFonts w:cstheme="minorHAnsi"/>
        </w:rPr>
        <w:t>qual</w:t>
      </w:r>
      <w:proofErr w:type="spellEnd"/>
      <w:r w:rsidRPr="00640A47">
        <w:rPr>
          <w:rFonts w:cstheme="minorHAnsi"/>
        </w:rPr>
        <w:t xml:space="preserve"> </w:t>
      </w:r>
      <w:proofErr w:type="spellStart"/>
      <w:r w:rsidRPr="00640A47">
        <w:rPr>
          <w:rFonts w:cstheme="minorHAnsi"/>
        </w:rPr>
        <w:t>existeixen</w:t>
      </w:r>
      <w:proofErr w:type="spellEnd"/>
      <w:r w:rsidRPr="00640A47">
        <w:rPr>
          <w:rFonts w:cstheme="minorHAnsi"/>
        </w:rPr>
        <w:t xml:space="preserve"> </w:t>
      </w:r>
      <w:proofErr w:type="spellStart"/>
      <w:r w:rsidRPr="00640A47">
        <w:rPr>
          <w:rFonts w:cstheme="minorHAnsi"/>
        </w:rPr>
        <w:t>parents</w:t>
      </w:r>
      <w:proofErr w:type="spellEnd"/>
      <w:r w:rsidRPr="00640A47">
        <w:rPr>
          <w:rFonts w:cstheme="minorHAnsi"/>
        </w:rPr>
        <w:t>”.</w:t>
      </w:r>
    </w:p>
    <w:p w:rsidR="0047385A" w:rsidRPr="00640A47" w:rsidRDefault="0047385A" w:rsidP="0047385A">
      <w:pPr>
        <w:pStyle w:val="Textonotapie"/>
        <w:ind w:firstLine="708"/>
        <w:jc w:val="both"/>
        <w:rPr>
          <w:rFonts w:cstheme="minorHAnsi"/>
        </w:rPr>
      </w:pPr>
      <w:r w:rsidRPr="00640A47">
        <w:rPr>
          <w:rFonts w:cstheme="minorHAnsi"/>
        </w:rPr>
        <w:t>Por su parte, la SAP Palencia</w:t>
      </w:r>
      <w:r w:rsidR="009412D6">
        <w:rPr>
          <w:rFonts w:cstheme="minorHAnsi"/>
        </w:rPr>
        <w:t xml:space="preserve"> de 3 de febrero de </w:t>
      </w:r>
      <w:r w:rsidRPr="00640A47">
        <w:rPr>
          <w:rFonts w:cstheme="minorHAnsi"/>
        </w:rPr>
        <w:t>2017 (</w:t>
      </w:r>
      <w:proofErr w:type="spellStart"/>
      <w:r w:rsidRPr="00640A47">
        <w:rPr>
          <w:rFonts w:cstheme="minorHAnsi"/>
        </w:rPr>
        <w:t>Roj</w:t>
      </w:r>
      <w:proofErr w:type="spellEnd"/>
      <w:r w:rsidRPr="00640A47">
        <w:rPr>
          <w:rFonts w:cstheme="minorHAnsi"/>
        </w:rPr>
        <w:t>: SAP P 64/2017) accede a que los dos hijos del apelante, fruto de dos parejas distintas, puedan pasar juntos el período de vacaciones estivales y los fines de semana en que le corresponde la guarda tras la ruptura de la segunda pareja.</w:t>
      </w:r>
    </w:p>
  </w:footnote>
  <w:footnote w:id="9">
    <w:p w:rsidR="00BB4C87" w:rsidRPr="00640A47" w:rsidRDefault="00BB4C87" w:rsidP="005F1B00">
      <w:pPr>
        <w:pStyle w:val="Textonotapie"/>
        <w:jc w:val="both"/>
        <w:rPr>
          <w:rFonts w:cstheme="minorHAnsi"/>
          <w:lang w:val="en-US"/>
        </w:rPr>
      </w:pPr>
      <w:r w:rsidRPr="00640A47">
        <w:rPr>
          <w:rStyle w:val="Refdenotaalpie"/>
          <w:rFonts w:cstheme="minorHAnsi"/>
        </w:rPr>
        <w:footnoteRef/>
      </w:r>
      <w:r w:rsidRPr="00640A47">
        <w:rPr>
          <w:rFonts w:cstheme="minorHAnsi"/>
        </w:rPr>
        <w:t xml:space="preserve"> </w:t>
      </w:r>
      <w:r w:rsidR="00087310" w:rsidRPr="00640A47">
        <w:rPr>
          <w:rFonts w:cstheme="minorHAnsi"/>
        </w:rPr>
        <w:t xml:space="preserve">De acuerdo con el censo de 2000, en Estados Unidos había 3.300.000 hijastros menores de 18 años conviviendo con padrastros o madrastras. </w:t>
      </w:r>
      <w:proofErr w:type="spellStart"/>
      <w:r w:rsidR="00087310" w:rsidRPr="009412D6">
        <w:rPr>
          <w:rFonts w:cstheme="minorHAnsi"/>
          <w:smallCaps/>
          <w:lang w:val="en-US"/>
        </w:rPr>
        <w:t>Laufer-Ukeles</w:t>
      </w:r>
      <w:proofErr w:type="spellEnd"/>
      <w:r w:rsidR="00087310" w:rsidRPr="009412D6">
        <w:rPr>
          <w:rFonts w:cstheme="minorHAnsi"/>
          <w:smallCaps/>
          <w:lang w:val="en-US"/>
        </w:rPr>
        <w:t>,</w:t>
      </w:r>
      <w:r w:rsidR="00087310" w:rsidRPr="00640A47">
        <w:rPr>
          <w:rFonts w:cstheme="minorHAnsi"/>
          <w:lang w:val="en-US"/>
        </w:rPr>
        <w:t xml:space="preserve"> </w:t>
      </w:r>
      <w:r w:rsidR="009412D6" w:rsidRPr="00640A47">
        <w:rPr>
          <w:rFonts w:cstheme="minorHAnsi"/>
          <w:lang w:val="en-US"/>
        </w:rPr>
        <w:t>Pamela</w:t>
      </w:r>
      <w:r w:rsidR="009412D6">
        <w:rPr>
          <w:rFonts w:cstheme="minorHAnsi"/>
          <w:lang w:val="en-US"/>
        </w:rPr>
        <w:t>,</w:t>
      </w:r>
      <w:r w:rsidR="009412D6" w:rsidRPr="00640A47">
        <w:rPr>
          <w:rFonts w:cstheme="minorHAnsi"/>
          <w:lang w:val="en-US"/>
        </w:rPr>
        <w:t xml:space="preserve"> </w:t>
      </w:r>
      <w:proofErr w:type="spellStart"/>
      <w:r w:rsidR="00087310" w:rsidRPr="00640A47">
        <w:rPr>
          <w:rFonts w:cstheme="minorHAnsi"/>
          <w:lang w:val="en-US"/>
        </w:rPr>
        <w:t>B</w:t>
      </w:r>
      <w:r w:rsidR="00087310" w:rsidRPr="009412D6">
        <w:rPr>
          <w:rFonts w:cstheme="minorHAnsi"/>
          <w:smallCaps/>
          <w:lang w:val="en-US"/>
        </w:rPr>
        <w:t>lacer-Prigat</w:t>
      </w:r>
      <w:proofErr w:type="spellEnd"/>
      <w:r w:rsidR="00087310" w:rsidRPr="00640A47">
        <w:rPr>
          <w:rFonts w:cstheme="minorHAnsi"/>
          <w:lang w:val="en-US"/>
        </w:rPr>
        <w:t>,</w:t>
      </w:r>
      <w:r w:rsidR="009412D6" w:rsidRPr="009412D6">
        <w:rPr>
          <w:rFonts w:cstheme="minorHAnsi"/>
          <w:lang w:val="en-US"/>
        </w:rPr>
        <w:t xml:space="preserve"> </w:t>
      </w:r>
      <w:proofErr w:type="spellStart"/>
      <w:r w:rsidR="009412D6" w:rsidRPr="00640A47">
        <w:rPr>
          <w:rFonts w:cstheme="minorHAnsi"/>
          <w:lang w:val="en-US"/>
        </w:rPr>
        <w:t>Argelet</w:t>
      </w:r>
      <w:proofErr w:type="spellEnd"/>
      <w:r w:rsidR="009412D6">
        <w:rPr>
          <w:rFonts w:cstheme="minorHAnsi"/>
          <w:lang w:val="en-US"/>
        </w:rPr>
        <w:t>,</w:t>
      </w:r>
      <w:r w:rsidR="00087310" w:rsidRPr="00640A47">
        <w:rPr>
          <w:rFonts w:cstheme="minorHAnsi"/>
          <w:lang w:val="en-US"/>
        </w:rPr>
        <w:t xml:space="preserve"> “Between </w:t>
      </w:r>
      <w:r w:rsidR="0000557E" w:rsidRPr="00640A47">
        <w:rPr>
          <w:rFonts w:cstheme="minorHAnsi"/>
          <w:lang w:val="en-US"/>
        </w:rPr>
        <w:t xml:space="preserve">Function and Form: Towards a Differentiated Model of Functional Parenthood”, </w:t>
      </w:r>
      <w:r w:rsidR="0000557E" w:rsidRPr="00640A47">
        <w:rPr>
          <w:rFonts w:cstheme="minorHAnsi"/>
          <w:i/>
          <w:lang w:val="en-US"/>
        </w:rPr>
        <w:t xml:space="preserve">George Mason Law Review, </w:t>
      </w:r>
      <w:r w:rsidR="0000557E" w:rsidRPr="00640A47">
        <w:rPr>
          <w:rFonts w:cstheme="minorHAnsi"/>
          <w:lang w:val="en-US"/>
        </w:rPr>
        <w:t xml:space="preserve">2013, p. 419 </w:t>
      </w:r>
      <w:proofErr w:type="spellStart"/>
      <w:r w:rsidR="0000557E" w:rsidRPr="00640A47">
        <w:rPr>
          <w:rFonts w:cstheme="minorHAnsi"/>
          <w:lang w:val="en-US"/>
        </w:rPr>
        <w:t>ss</w:t>
      </w:r>
      <w:proofErr w:type="spellEnd"/>
      <w:r w:rsidR="0000557E" w:rsidRPr="00640A47">
        <w:rPr>
          <w:rFonts w:cstheme="minorHAnsi"/>
          <w:lang w:val="en-US"/>
        </w:rPr>
        <w:t xml:space="preserve"> (la </w:t>
      </w:r>
      <w:proofErr w:type="spellStart"/>
      <w:r w:rsidR="0000557E" w:rsidRPr="00640A47">
        <w:rPr>
          <w:rFonts w:cstheme="minorHAnsi"/>
          <w:lang w:val="en-US"/>
        </w:rPr>
        <w:t>estadística</w:t>
      </w:r>
      <w:proofErr w:type="spellEnd"/>
      <w:r w:rsidR="0000557E" w:rsidRPr="00640A47">
        <w:rPr>
          <w:rFonts w:cstheme="minorHAnsi"/>
          <w:lang w:val="en-US"/>
        </w:rPr>
        <w:t xml:space="preserve"> </w:t>
      </w:r>
      <w:proofErr w:type="spellStart"/>
      <w:r w:rsidR="0000557E" w:rsidRPr="00640A47">
        <w:rPr>
          <w:rFonts w:cstheme="minorHAnsi"/>
          <w:lang w:val="en-US"/>
        </w:rPr>
        <w:t>en</w:t>
      </w:r>
      <w:proofErr w:type="spellEnd"/>
      <w:r w:rsidR="0000557E" w:rsidRPr="00640A47">
        <w:rPr>
          <w:rFonts w:cstheme="minorHAnsi"/>
          <w:lang w:val="en-US"/>
        </w:rPr>
        <w:t xml:space="preserve"> nota 65)</w:t>
      </w:r>
      <w:r w:rsidRPr="00640A47">
        <w:rPr>
          <w:rFonts w:cstheme="minorHAnsi"/>
          <w:lang w:val="en-US"/>
        </w:rPr>
        <w:t>.</w:t>
      </w:r>
    </w:p>
  </w:footnote>
  <w:footnote w:id="10">
    <w:p w:rsidR="00BB4C87" w:rsidRPr="00640A47" w:rsidRDefault="00BB4C87" w:rsidP="001C5C07">
      <w:pPr>
        <w:pStyle w:val="Textonotapie"/>
        <w:jc w:val="both"/>
        <w:rPr>
          <w:rFonts w:cstheme="minorHAnsi"/>
        </w:rPr>
      </w:pPr>
      <w:r w:rsidRPr="00640A47">
        <w:rPr>
          <w:rStyle w:val="Refdenotaalpie"/>
          <w:rFonts w:cstheme="minorHAnsi"/>
        </w:rPr>
        <w:footnoteRef/>
      </w:r>
      <w:r w:rsidRPr="00640A47">
        <w:rPr>
          <w:rFonts w:cstheme="minorHAnsi"/>
        </w:rPr>
        <w:t xml:space="preserve"> Véase, con las necesarias actualizaciones, </w:t>
      </w:r>
      <w:r w:rsidRPr="00640A47">
        <w:rPr>
          <w:rFonts w:cstheme="minorHAnsi"/>
          <w:smallCaps/>
        </w:rPr>
        <w:t xml:space="preserve">Garriga </w:t>
      </w:r>
      <w:proofErr w:type="spellStart"/>
      <w:r w:rsidRPr="00640A47">
        <w:rPr>
          <w:rFonts w:cstheme="minorHAnsi"/>
          <w:smallCaps/>
        </w:rPr>
        <w:t>Gorina</w:t>
      </w:r>
      <w:proofErr w:type="spellEnd"/>
      <w:r w:rsidRPr="00640A47">
        <w:rPr>
          <w:rFonts w:cstheme="minorHAnsi"/>
        </w:rPr>
        <w:t xml:space="preserve">, </w:t>
      </w:r>
      <w:r w:rsidR="009412D6" w:rsidRPr="00640A47">
        <w:rPr>
          <w:rFonts w:cstheme="minorHAnsi"/>
        </w:rPr>
        <w:t>Margarita</w:t>
      </w:r>
      <w:r w:rsidR="009412D6">
        <w:rPr>
          <w:rFonts w:cstheme="minorHAnsi"/>
        </w:rPr>
        <w:t>,</w:t>
      </w:r>
      <w:r w:rsidR="009412D6" w:rsidRPr="00640A47">
        <w:rPr>
          <w:rFonts w:cstheme="minorHAnsi"/>
        </w:rPr>
        <w:t xml:space="preserve"> </w:t>
      </w:r>
      <w:r w:rsidRPr="00640A47">
        <w:rPr>
          <w:rFonts w:cstheme="minorHAnsi"/>
        </w:rPr>
        <w:t xml:space="preserve">“Les </w:t>
      </w:r>
      <w:proofErr w:type="spellStart"/>
      <w:r w:rsidRPr="00640A47">
        <w:rPr>
          <w:rFonts w:cstheme="minorHAnsi"/>
        </w:rPr>
        <w:t>relacions</w:t>
      </w:r>
      <w:proofErr w:type="spellEnd"/>
      <w:r w:rsidRPr="00640A47">
        <w:rPr>
          <w:rFonts w:cstheme="minorHAnsi"/>
        </w:rPr>
        <w:t xml:space="preserve"> paterno-</w:t>
      </w:r>
      <w:proofErr w:type="spellStart"/>
      <w:r w:rsidRPr="00640A47">
        <w:rPr>
          <w:rFonts w:cstheme="minorHAnsi"/>
        </w:rPr>
        <w:t>filials</w:t>
      </w:r>
      <w:proofErr w:type="spellEnd"/>
      <w:r w:rsidRPr="00640A47">
        <w:rPr>
          <w:rFonts w:cstheme="minorHAnsi"/>
        </w:rPr>
        <w:t xml:space="preserve"> de </w:t>
      </w:r>
      <w:proofErr w:type="spellStart"/>
      <w:r w:rsidRPr="00640A47">
        <w:rPr>
          <w:rFonts w:cstheme="minorHAnsi"/>
        </w:rPr>
        <w:t>fet</w:t>
      </w:r>
      <w:proofErr w:type="spellEnd"/>
      <w:r w:rsidRPr="00640A47">
        <w:rPr>
          <w:rFonts w:cstheme="minorHAnsi"/>
        </w:rPr>
        <w:t xml:space="preserve"> (II)”, </w:t>
      </w:r>
      <w:r w:rsidRPr="00640A47">
        <w:rPr>
          <w:rFonts w:cstheme="minorHAnsi"/>
          <w:i/>
        </w:rPr>
        <w:t xml:space="preserve">Revista Jurídica de Catalunya, </w:t>
      </w:r>
      <w:r w:rsidRPr="00640A47">
        <w:rPr>
          <w:rFonts w:cstheme="minorHAnsi"/>
        </w:rPr>
        <w:t xml:space="preserve">2005, p. 981 </w:t>
      </w:r>
      <w:proofErr w:type="spellStart"/>
      <w:r w:rsidRPr="00640A47">
        <w:rPr>
          <w:rFonts w:cstheme="minorHAnsi"/>
        </w:rPr>
        <w:t>ss</w:t>
      </w:r>
      <w:proofErr w:type="spellEnd"/>
      <w:r w:rsidRPr="00640A47">
        <w:rPr>
          <w:rFonts w:cstheme="minorHAnsi"/>
        </w:rPr>
        <w:t xml:space="preserve">; </w:t>
      </w:r>
      <w:r w:rsidRPr="00640A47">
        <w:rPr>
          <w:rFonts w:cstheme="minorHAnsi"/>
          <w:smallCaps/>
        </w:rPr>
        <w:t xml:space="preserve">Rivas </w:t>
      </w:r>
      <w:proofErr w:type="spellStart"/>
      <w:r w:rsidRPr="00640A47">
        <w:rPr>
          <w:rFonts w:cstheme="minorHAnsi"/>
          <w:smallCaps/>
        </w:rPr>
        <w:t>Rivas</w:t>
      </w:r>
      <w:proofErr w:type="spellEnd"/>
      <w:r w:rsidRPr="00640A47">
        <w:rPr>
          <w:rFonts w:cstheme="minorHAnsi"/>
        </w:rPr>
        <w:t>,</w:t>
      </w:r>
      <w:r w:rsidR="009412D6" w:rsidRPr="009412D6">
        <w:rPr>
          <w:rFonts w:cstheme="minorHAnsi"/>
        </w:rPr>
        <w:t xml:space="preserve"> </w:t>
      </w:r>
      <w:r w:rsidR="009412D6" w:rsidRPr="00640A47">
        <w:rPr>
          <w:rFonts w:cstheme="minorHAnsi"/>
        </w:rPr>
        <w:t>Ana Mª</w:t>
      </w:r>
      <w:r w:rsidR="009412D6">
        <w:rPr>
          <w:rFonts w:cstheme="minorHAnsi"/>
        </w:rPr>
        <w:t>,</w:t>
      </w:r>
      <w:r w:rsidRPr="00640A47">
        <w:rPr>
          <w:rFonts w:cstheme="minorHAnsi"/>
        </w:rPr>
        <w:t xml:space="preserve"> “La protección social ante los nuevos modelos de familias: el caso de los hogares recompuestos”, p. 226 </w:t>
      </w:r>
      <w:proofErr w:type="spellStart"/>
      <w:r w:rsidRPr="00640A47">
        <w:rPr>
          <w:rFonts w:cstheme="minorHAnsi"/>
        </w:rPr>
        <w:t>ss</w:t>
      </w:r>
      <w:proofErr w:type="spellEnd"/>
      <w:r w:rsidRPr="00640A47">
        <w:rPr>
          <w:rFonts w:cstheme="minorHAnsi"/>
        </w:rPr>
        <w:t xml:space="preserve"> (</w:t>
      </w:r>
      <w:r w:rsidR="008B7411">
        <w:rPr>
          <w:rFonts w:cstheme="minorHAnsi"/>
        </w:rPr>
        <w:t>disponible</w:t>
      </w:r>
      <w:r w:rsidRPr="00640A47">
        <w:rPr>
          <w:rFonts w:cstheme="minorHAnsi"/>
        </w:rPr>
        <w:t xml:space="preserve"> en http://www.seg-social.es/prdi00/groups/public/documents/binario/51585.pdf).</w:t>
      </w:r>
    </w:p>
  </w:footnote>
  <w:footnote w:id="11">
    <w:p w:rsidR="00BB4C87" w:rsidRPr="00640A47" w:rsidRDefault="00BB4C87" w:rsidP="00171454">
      <w:pPr>
        <w:pStyle w:val="Textonotapie"/>
        <w:jc w:val="both"/>
        <w:rPr>
          <w:rFonts w:cstheme="minorHAnsi"/>
        </w:rPr>
      </w:pPr>
      <w:r w:rsidRPr="00640A47">
        <w:rPr>
          <w:rStyle w:val="Refdenotaalpie"/>
          <w:rFonts w:cstheme="minorHAnsi"/>
        </w:rPr>
        <w:footnoteRef/>
      </w:r>
      <w:r w:rsidRPr="00640A47">
        <w:rPr>
          <w:rFonts w:cstheme="minorHAnsi"/>
        </w:rPr>
        <w:t xml:space="preserve"> </w:t>
      </w:r>
      <w:r w:rsidRPr="00640A47">
        <w:rPr>
          <w:rFonts w:cstheme="minorHAnsi"/>
          <w:smallCaps/>
        </w:rPr>
        <w:t xml:space="preserve">Roca </w:t>
      </w:r>
      <w:proofErr w:type="spellStart"/>
      <w:r w:rsidRPr="00640A47">
        <w:rPr>
          <w:rFonts w:cstheme="minorHAnsi"/>
          <w:smallCaps/>
        </w:rPr>
        <w:t>Trias</w:t>
      </w:r>
      <w:proofErr w:type="spellEnd"/>
      <w:r w:rsidRPr="00640A47">
        <w:rPr>
          <w:rFonts w:cstheme="minorHAnsi"/>
        </w:rPr>
        <w:t>,</w:t>
      </w:r>
      <w:r w:rsidR="008B7411" w:rsidRPr="008B7411">
        <w:rPr>
          <w:rFonts w:cstheme="minorHAnsi"/>
        </w:rPr>
        <w:t xml:space="preserve"> </w:t>
      </w:r>
      <w:r w:rsidR="008B7411" w:rsidRPr="00640A47">
        <w:rPr>
          <w:rFonts w:cstheme="minorHAnsi"/>
        </w:rPr>
        <w:t>Encarna</w:t>
      </w:r>
      <w:r w:rsidR="008B7411">
        <w:rPr>
          <w:rFonts w:cstheme="minorHAnsi"/>
        </w:rPr>
        <w:t>,</w:t>
      </w:r>
      <w:r w:rsidRPr="00640A47">
        <w:rPr>
          <w:rFonts w:cstheme="minorHAnsi"/>
        </w:rPr>
        <w:t xml:space="preserve"> “Familia, familias y derecho de la familia”, </w:t>
      </w:r>
      <w:r w:rsidRPr="00640A47">
        <w:rPr>
          <w:rFonts w:cstheme="minorHAnsi"/>
          <w:i/>
        </w:rPr>
        <w:t xml:space="preserve">Anuario de Derecho Civil, </w:t>
      </w:r>
      <w:r w:rsidRPr="00640A47">
        <w:rPr>
          <w:rFonts w:cstheme="minorHAnsi"/>
        </w:rPr>
        <w:t>1990, p. 1055 ss.</w:t>
      </w:r>
    </w:p>
  </w:footnote>
  <w:footnote w:id="12">
    <w:p w:rsidR="00BB4C87" w:rsidRPr="00640A47" w:rsidRDefault="00BB4C87" w:rsidP="002A2EE6">
      <w:pPr>
        <w:pStyle w:val="Textonotapie"/>
        <w:jc w:val="both"/>
        <w:rPr>
          <w:rFonts w:cstheme="minorHAnsi"/>
        </w:rPr>
      </w:pPr>
      <w:r w:rsidRPr="00640A47">
        <w:rPr>
          <w:rStyle w:val="Refdenotaalpie"/>
          <w:rFonts w:cstheme="minorHAnsi"/>
        </w:rPr>
        <w:footnoteRef/>
      </w:r>
      <w:r w:rsidRPr="00640A47">
        <w:rPr>
          <w:rFonts w:cstheme="minorHAnsi"/>
        </w:rPr>
        <w:t xml:space="preserve"> Explica </w:t>
      </w:r>
      <w:proofErr w:type="spellStart"/>
      <w:r w:rsidRPr="00640A47">
        <w:rPr>
          <w:rFonts w:cstheme="minorHAnsi"/>
          <w:smallCaps/>
        </w:rPr>
        <w:t>Lauroba</w:t>
      </w:r>
      <w:proofErr w:type="spellEnd"/>
      <w:r w:rsidRPr="00640A47">
        <w:rPr>
          <w:rFonts w:cstheme="minorHAnsi"/>
          <w:smallCaps/>
        </w:rPr>
        <w:t xml:space="preserve"> </w:t>
      </w:r>
      <w:proofErr w:type="spellStart"/>
      <w:r w:rsidRPr="00640A47">
        <w:rPr>
          <w:rFonts w:cstheme="minorHAnsi"/>
          <w:smallCaps/>
        </w:rPr>
        <w:t>Lacasa</w:t>
      </w:r>
      <w:proofErr w:type="spellEnd"/>
      <w:r w:rsidRPr="00640A47">
        <w:rPr>
          <w:rFonts w:cstheme="minorHAnsi"/>
        </w:rPr>
        <w:t xml:space="preserve">, </w:t>
      </w:r>
      <w:r w:rsidR="008B7411" w:rsidRPr="00640A47">
        <w:rPr>
          <w:rFonts w:cstheme="minorHAnsi"/>
        </w:rPr>
        <w:t>Mª Elena</w:t>
      </w:r>
      <w:r w:rsidR="008B7411">
        <w:rPr>
          <w:rFonts w:cstheme="minorHAnsi"/>
        </w:rPr>
        <w:t>,</w:t>
      </w:r>
      <w:r w:rsidR="008B7411" w:rsidRPr="00640A47">
        <w:rPr>
          <w:rFonts w:cstheme="minorHAnsi"/>
        </w:rPr>
        <w:t xml:space="preserve"> </w:t>
      </w:r>
      <w:r w:rsidRPr="00640A47">
        <w:rPr>
          <w:rFonts w:cstheme="minorHAnsi"/>
        </w:rPr>
        <w:t xml:space="preserve">art. 236-14, en Joan Egea Fernández, Josep Ferrer Riba (coord.), </w:t>
      </w:r>
      <w:proofErr w:type="spellStart"/>
      <w:r w:rsidRPr="00640A47">
        <w:rPr>
          <w:rFonts w:cstheme="minorHAnsi"/>
          <w:i/>
        </w:rPr>
        <w:t>Comentari</w:t>
      </w:r>
      <w:proofErr w:type="spellEnd"/>
      <w:r w:rsidRPr="00640A47">
        <w:rPr>
          <w:rFonts w:cstheme="minorHAnsi"/>
          <w:i/>
        </w:rPr>
        <w:t xml:space="preserve"> al </w:t>
      </w:r>
      <w:proofErr w:type="spellStart"/>
      <w:r w:rsidRPr="00640A47">
        <w:rPr>
          <w:rFonts w:cstheme="minorHAnsi"/>
          <w:i/>
        </w:rPr>
        <w:t>Llibre</w:t>
      </w:r>
      <w:proofErr w:type="spellEnd"/>
      <w:r w:rsidR="00675E58">
        <w:rPr>
          <w:rFonts w:cstheme="minorHAnsi"/>
          <w:i/>
        </w:rPr>
        <w:t xml:space="preserve"> </w:t>
      </w:r>
      <w:proofErr w:type="spellStart"/>
      <w:r w:rsidR="00675E58">
        <w:rPr>
          <w:rFonts w:cstheme="minorHAnsi"/>
          <w:i/>
        </w:rPr>
        <w:t>Segon</w:t>
      </w:r>
      <w:proofErr w:type="spellEnd"/>
      <w:r w:rsidR="00675E58">
        <w:rPr>
          <w:rFonts w:cstheme="minorHAnsi"/>
          <w:i/>
        </w:rPr>
        <w:t xml:space="preserve"> del </w:t>
      </w:r>
      <w:proofErr w:type="spellStart"/>
      <w:r w:rsidR="00675E58">
        <w:rPr>
          <w:rFonts w:cstheme="minorHAnsi"/>
          <w:i/>
        </w:rPr>
        <w:t>Codi</w:t>
      </w:r>
      <w:proofErr w:type="spellEnd"/>
      <w:r w:rsidR="00675E58">
        <w:rPr>
          <w:rFonts w:cstheme="minorHAnsi"/>
          <w:i/>
        </w:rPr>
        <w:t xml:space="preserve"> Civil de Catalunya</w:t>
      </w:r>
      <w:r w:rsidR="008B7411">
        <w:rPr>
          <w:rFonts w:cstheme="minorHAnsi"/>
        </w:rPr>
        <w:t xml:space="preserve">, </w:t>
      </w:r>
      <w:r w:rsidR="00675E58">
        <w:rPr>
          <w:rFonts w:cstheme="minorHAnsi"/>
        </w:rPr>
        <w:t xml:space="preserve">Atelier, Barcelona, 2014, </w:t>
      </w:r>
      <w:r w:rsidRPr="00640A47">
        <w:rPr>
          <w:rFonts w:cstheme="minorHAnsi"/>
        </w:rPr>
        <w:t>p. 855, que se persigue dejar claro que el padrastro o madrastra ni expulsa al progenitor biológico ni reduce sus facultades.</w:t>
      </w:r>
    </w:p>
  </w:footnote>
  <w:footnote w:id="13">
    <w:p w:rsidR="00BB4C87" w:rsidRPr="00640A47" w:rsidRDefault="00BB4C87" w:rsidP="00AF38E0">
      <w:pPr>
        <w:pStyle w:val="Textonotapie"/>
        <w:jc w:val="both"/>
        <w:rPr>
          <w:rFonts w:cstheme="minorHAnsi"/>
        </w:rPr>
      </w:pPr>
      <w:r w:rsidRPr="00640A47">
        <w:rPr>
          <w:rStyle w:val="Refdenotaalpie"/>
          <w:rFonts w:cstheme="minorHAnsi"/>
        </w:rPr>
        <w:footnoteRef/>
      </w:r>
      <w:r w:rsidRPr="00640A47">
        <w:rPr>
          <w:rFonts w:cstheme="minorHAnsi"/>
        </w:rPr>
        <w:t xml:space="preserve"> Lo que no impide que el menor pueda residir ocasionalmente en lugar distinto por razones de estudios, ocio o similares. </w:t>
      </w:r>
      <w:r w:rsidRPr="00640A47">
        <w:rPr>
          <w:rFonts w:cstheme="minorHAnsi"/>
          <w:smallCaps/>
        </w:rPr>
        <w:t>Rivero Hernández</w:t>
      </w:r>
      <w:r w:rsidRPr="00640A47">
        <w:rPr>
          <w:rFonts w:cstheme="minorHAnsi"/>
        </w:rPr>
        <w:t xml:space="preserve">, “El </w:t>
      </w:r>
      <w:r w:rsidRPr="00640A47">
        <w:rPr>
          <w:rFonts w:cstheme="minorHAnsi"/>
          <w:i/>
        </w:rPr>
        <w:t>status</w:t>
      </w:r>
      <w:r w:rsidRPr="00640A47">
        <w:rPr>
          <w:rFonts w:cstheme="minorHAnsi"/>
        </w:rPr>
        <w:t xml:space="preserve">”, </w:t>
      </w:r>
      <w:proofErr w:type="spellStart"/>
      <w:r w:rsidR="008B7411">
        <w:rPr>
          <w:rFonts w:cstheme="minorHAnsi"/>
        </w:rPr>
        <w:t>op</w:t>
      </w:r>
      <w:proofErr w:type="spellEnd"/>
      <w:r w:rsidR="008B7411">
        <w:rPr>
          <w:rFonts w:cstheme="minorHAnsi"/>
        </w:rPr>
        <w:t xml:space="preserve">. cit., </w:t>
      </w:r>
      <w:r w:rsidRPr="00640A47">
        <w:rPr>
          <w:rFonts w:cstheme="minorHAnsi"/>
        </w:rPr>
        <w:t>p. 2203.</w:t>
      </w:r>
    </w:p>
  </w:footnote>
  <w:footnote w:id="14">
    <w:p w:rsidR="00BB4C87" w:rsidRPr="00640A47" w:rsidRDefault="00BB4C87" w:rsidP="002134CA">
      <w:pPr>
        <w:pStyle w:val="Textonotapie"/>
        <w:jc w:val="both"/>
        <w:rPr>
          <w:rFonts w:cstheme="minorHAnsi"/>
        </w:rPr>
      </w:pPr>
      <w:r w:rsidRPr="00640A47">
        <w:rPr>
          <w:rStyle w:val="Refdenotaalpie"/>
          <w:rFonts w:cstheme="minorHAnsi"/>
        </w:rPr>
        <w:footnoteRef/>
      </w:r>
      <w:r w:rsidRPr="00640A47">
        <w:rPr>
          <w:rFonts w:cstheme="minorHAnsi"/>
        </w:rPr>
        <w:t xml:space="preserve"> Véase, en cuanto a esta ineficacia automática y la conservación de la eficacia de las disposiciones testamentarias a favor del cónyuge o conviviente </w:t>
      </w:r>
      <w:proofErr w:type="spellStart"/>
      <w:r w:rsidRPr="00640A47">
        <w:rPr>
          <w:rFonts w:cstheme="minorHAnsi"/>
          <w:smallCaps/>
        </w:rPr>
        <w:t>Vaquer</w:t>
      </w:r>
      <w:proofErr w:type="spellEnd"/>
      <w:r w:rsidRPr="00640A47">
        <w:rPr>
          <w:rFonts w:cstheme="minorHAnsi"/>
          <w:smallCaps/>
        </w:rPr>
        <w:t xml:space="preserve"> </w:t>
      </w:r>
      <w:proofErr w:type="spellStart"/>
      <w:r w:rsidRPr="00640A47">
        <w:rPr>
          <w:rFonts w:cstheme="minorHAnsi"/>
          <w:smallCaps/>
        </w:rPr>
        <w:t>Aloy</w:t>
      </w:r>
      <w:proofErr w:type="spellEnd"/>
      <w:r w:rsidRPr="00640A47">
        <w:rPr>
          <w:rFonts w:cstheme="minorHAnsi"/>
          <w:smallCaps/>
        </w:rPr>
        <w:t>,</w:t>
      </w:r>
      <w:r w:rsidRPr="00640A47">
        <w:rPr>
          <w:rFonts w:cstheme="minorHAnsi"/>
        </w:rPr>
        <w:t xml:space="preserve"> </w:t>
      </w:r>
      <w:r w:rsidR="008B7411" w:rsidRPr="00640A47">
        <w:rPr>
          <w:rFonts w:cstheme="minorHAnsi"/>
        </w:rPr>
        <w:t>Antoni</w:t>
      </w:r>
      <w:r w:rsidR="008B7411">
        <w:rPr>
          <w:rFonts w:cstheme="minorHAnsi"/>
        </w:rPr>
        <w:t>,</w:t>
      </w:r>
      <w:r w:rsidR="008B7411" w:rsidRPr="00640A47">
        <w:rPr>
          <w:rFonts w:cstheme="minorHAnsi"/>
        </w:rPr>
        <w:t xml:space="preserve"> </w:t>
      </w:r>
      <w:r w:rsidRPr="00640A47">
        <w:rPr>
          <w:rFonts w:cstheme="minorHAnsi"/>
        </w:rPr>
        <w:t xml:space="preserve">“Testamento, disposiciones a favor del cónyuge y crisis del matrimonio”, </w:t>
      </w:r>
      <w:r w:rsidRPr="00640A47">
        <w:rPr>
          <w:rFonts w:cstheme="minorHAnsi"/>
          <w:i/>
        </w:rPr>
        <w:t xml:space="preserve">Anuario de Derecho Civil, </w:t>
      </w:r>
      <w:r w:rsidRPr="00640A47">
        <w:rPr>
          <w:rFonts w:cstheme="minorHAnsi"/>
        </w:rPr>
        <w:t>2003, p. 67 ss.</w:t>
      </w:r>
    </w:p>
  </w:footnote>
  <w:footnote w:id="15">
    <w:p w:rsidR="00BB4C87" w:rsidRPr="00640A47" w:rsidRDefault="00BB4C87" w:rsidP="006022CC">
      <w:pPr>
        <w:pStyle w:val="Textonotapie"/>
        <w:jc w:val="both"/>
        <w:rPr>
          <w:rFonts w:cstheme="minorHAnsi"/>
        </w:rPr>
      </w:pPr>
      <w:r w:rsidRPr="00640A47">
        <w:rPr>
          <w:rStyle w:val="Refdenotaalpie"/>
          <w:rFonts w:cstheme="minorHAnsi"/>
        </w:rPr>
        <w:footnoteRef/>
      </w:r>
      <w:r w:rsidRPr="00640A47">
        <w:rPr>
          <w:rFonts w:cstheme="minorHAnsi"/>
        </w:rPr>
        <w:t xml:space="preserve"> Al respecto, </w:t>
      </w:r>
      <w:proofErr w:type="spellStart"/>
      <w:r w:rsidRPr="00640A47">
        <w:rPr>
          <w:rFonts w:cstheme="minorHAnsi"/>
          <w:smallCaps/>
        </w:rPr>
        <w:t>Duplá</w:t>
      </w:r>
      <w:proofErr w:type="spellEnd"/>
      <w:r w:rsidRPr="00640A47">
        <w:rPr>
          <w:rFonts w:cstheme="minorHAnsi"/>
          <w:smallCaps/>
        </w:rPr>
        <w:t xml:space="preserve"> Marín</w:t>
      </w:r>
      <w:r w:rsidRPr="00640A47">
        <w:rPr>
          <w:rFonts w:cstheme="minorHAnsi"/>
        </w:rPr>
        <w:t>,</w:t>
      </w:r>
      <w:r w:rsidR="008B7411" w:rsidRPr="008B7411">
        <w:rPr>
          <w:rFonts w:cstheme="minorHAnsi"/>
        </w:rPr>
        <w:t xml:space="preserve"> </w:t>
      </w:r>
      <w:r w:rsidR="008B7411" w:rsidRPr="00640A47">
        <w:rPr>
          <w:rFonts w:cstheme="minorHAnsi"/>
        </w:rPr>
        <w:t>Mª Teresa</w:t>
      </w:r>
      <w:r w:rsidR="008B7411">
        <w:rPr>
          <w:rFonts w:cstheme="minorHAnsi"/>
        </w:rPr>
        <w:t>,</w:t>
      </w:r>
      <w:r w:rsidRPr="00640A47">
        <w:rPr>
          <w:rFonts w:cstheme="minorHAnsi"/>
        </w:rPr>
        <w:t xml:space="preserve"> “La autoridad familiar del padrastro o madrastra en la legislación aragonesa: del Apéndice Foral de 1925 al artículo 72 de la Ley 13/2006 de Derecho de la Persona”, </w:t>
      </w:r>
      <w:r w:rsidRPr="00640A47">
        <w:rPr>
          <w:rFonts w:cstheme="minorHAnsi"/>
          <w:i/>
        </w:rPr>
        <w:t xml:space="preserve">Revista Crítica de Derecho Inmobiliario, </w:t>
      </w:r>
      <w:r w:rsidRPr="00640A47">
        <w:rPr>
          <w:rFonts w:cstheme="minorHAnsi"/>
        </w:rPr>
        <w:t xml:space="preserve">núm. 717, 2010, p. </w:t>
      </w:r>
      <w:r w:rsidRPr="00640A47">
        <w:rPr>
          <w:rFonts w:cstheme="minorHAnsi"/>
        </w:rPr>
        <w:t>61 ss</w:t>
      </w:r>
      <w:r w:rsidR="00657B0D">
        <w:rPr>
          <w:rFonts w:cstheme="minorHAnsi"/>
        </w:rPr>
        <w:t>.</w:t>
      </w:r>
      <w:bookmarkStart w:id="0" w:name="_GoBack"/>
      <w:bookmarkEnd w:id="0"/>
    </w:p>
  </w:footnote>
  <w:footnote w:id="16">
    <w:p w:rsidR="00BB4C87" w:rsidRPr="00640A47" w:rsidRDefault="00BB4C87">
      <w:pPr>
        <w:pStyle w:val="Textonotapie"/>
        <w:rPr>
          <w:rFonts w:cstheme="minorHAnsi"/>
        </w:rPr>
      </w:pPr>
      <w:r w:rsidRPr="00640A47">
        <w:rPr>
          <w:rStyle w:val="Refdenotaalpie"/>
          <w:rFonts w:cstheme="minorHAnsi"/>
        </w:rPr>
        <w:footnoteRef/>
      </w:r>
      <w:r w:rsidRPr="00640A47">
        <w:rPr>
          <w:rFonts w:cstheme="minorHAnsi"/>
        </w:rPr>
        <w:t xml:space="preserve"> Remitimos a los trabajos de </w:t>
      </w:r>
      <w:r w:rsidRPr="00640A47">
        <w:rPr>
          <w:rFonts w:cstheme="minorHAnsi"/>
          <w:smallCaps/>
        </w:rPr>
        <w:t xml:space="preserve">Rivas </w:t>
      </w:r>
      <w:proofErr w:type="spellStart"/>
      <w:r w:rsidRPr="00640A47">
        <w:rPr>
          <w:rFonts w:cstheme="minorHAnsi"/>
          <w:smallCaps/>
        </w:rPr>
        <w:t>Rivas</w:t>
      </w:r>
      <w:proofErr w:type="spellEnd"/>
      <w:r w:rsidRPr="00640A47">
        <w:rPr>
          <w:rFonts w:cstheme="minorHAnsi"/>
        </w:rPr>
        <w:t xml:space="preserve"> citados en la nota </w:t>
      </w:r>
      <w:r w:rsidR="00C97BC8" w:rsidRPr="00640A47">
        <w:rPr>
          <w:rFonts w:cstheme="minorHAnsi"/>
        </w:rPr>
        <w:t>2</w:t>
      </w:r>
      <w:r w:rsidRPr="00640A47">
        <w:rPr>
          <w:rFonts w:cstheme="minorHAnsi"/>
        </w:rPr>
        <w:t>.</w:t>
      </w:r>
    </w:p>
  </w:footnote>
  <w:footnote w:id="17">
    <w:p w:rsidR="00BB4C87" w:rsidRPr="00640A47" w:rsidRDefault="00BB4C87" w:rsidP="00A746D8">
      <w:pPr>
        <w:pStyle w:val="Textonotapie"/>
        <w:jc w:val="both"/>
        <w:rPr>
          <w:rFonts w:cstheme="minorHAnsi"/>
        </w:rPr>
      </w:pPr>
      <w:r w:rsidRPr="00640A47">
        <w:rPr>
          <w:rStyle w:val="Refdenotaalpie"/>
          <w:rFonts w:cstheme="minorHAnsi"/>
        </w:rPr>
        <w:footnoteRef/>
      </w:r>
      <w:r w:rsidRPr="00640A47">
        <w:rPr>
          <w:rFonts w:cstheme="minorHAnsi"/>
        </w:rPr>
        <w:t xml:space="preserve"> </w:t>
      </w:r>
      <w:proofErr w:type="spellStart"/>
      <w:r w:rsidRPr="00640A47">
        <w:rPr>
          <w:rFonts w:cstheme="minorHAnsi"/>
          <w:smallCaps/>
        </w:rPr>
        <w:t>Vaquer</w:t>
      </w:r>
      <w:proofErr w:type="spellEnd"/>
      <w:r w:rsidRPr="00640A47">
        <w:rPr>
          <w:rFonts w:cstheme="minorHAnsi"/>
          <w:smallCaps/>
        </w:rPr>
        <w:t xml:space="preserve"> </w:t>
      </w:r>
      <w:proofErr w:type="spellStart"/>
      <w:r w:rsidRPr="00640A47">
        <w:rPr>
          <w:rFonts w:cstheme="minorHAnsi"/>
          <w:smallCaps/>
        </w:rPr>
        <w:t>Aloy</w:t>
      </w:r>
      <w:proofErr w:type="spellEnd"/>
      <w:r w:rsidRPr="00640A47">
        <w:rPr>
          <w:rFonts w:cstheme="minorHAnsi"/>
        </w:rPr>
        <w:t xml:space="preserve">, </w:t>
      </w:r>
      <w:r w:rsidR="008B7411" w:rsidRPr="00640A47">
        <w:rPr>
          <w:rFonts w:cstheme="minorHAnsi"/>
        </w:rPr>
        <w:t>Antoni</w:t>
      </w:r>
      <w:r w:rsidR="008B7411">
        <w:rPr>
          <w:rFonts w:cstheme="minorHAnsi"/>
        </w:rPr>
        <w:t>,</w:t>
      </w:r>
      <w:r w:rsidR="008B7411" w:rsidRPr="00640A47">
        <w:rPr>
          <w:rFonts w:cstheme="minorHAnsi"/>
        </w:rPr>
        <w:t xml:space="preserve"> </w:t>
      </w:r>
      <w:r w:rsidRPr="00640A47">
        <w:rPr>
          <w:rFonts w:cstheme="minorHAnsi"/>
        </w:rPr>
        <w:t xml:space="preserve">“Los límites a la autonomía privada en el derecho de sucesiones”, en Mª Ángeles Parra </w:t>
      </w:r>
      <w:proofErr w:type="spellStart"/>
      <w:r w:rsidRPr="00640A47">
        <w:rPr>
          <w:rFonts w:cstheme="minorHAnsi"/>
        </w:rPr>
        <w:t>Lucán</w:t>
      </w:r>
      <w:proofErr w:type="spellEnd"/>
      <w:r w:rsidRPr="00640A47">
        <w:rPr>
          <w:rFonts w:cstheme="minorHAnsi"/>
        </w:rPr>
        <w:t xml:space="preserve"> (</w:t>
      </w:r>
      <w:proofErr w:type="spellStart"/>
      <w:r w:rsidRPr="00640A47">
        <w:rPr>
          <w:rFonts w:cstheme="minorHAnsi"/>
        </w:rPr>
        <w:t>dir.</w:t>
      </w:r>
      <w:proofErr w:type="spellEnd"/>
      <w:r w:rsidRPr="00640A47">
        <w:rPr>
          <w:rFonts w:cstheme="minorHAnsi"/>
        </w:rPr>
        <w:t xml:space="preserve">), </w:t>
      </w:r>
      <w:r w:rsidRPr="00640A47">
        <w:rPr>
          <w:rFonts w:cstheme="minorHAnsi"/>
          <w:i/>
        </w:rPr>
        <w:t xml:space="preserve">La autonomía privada en el derecho civil, </w:t>
      </w:r>
      <w:proofErr w:type="spellStart"/>
      <w:r w:rsidRPr="00640A47">
        <w:rPr>
          <w:rFonts w:cstheme="minorHAnsi"/>
        </w:rPr>
        <w:t>Cizur</w:t>
      </w:r>
      <w:proofErr w:type="spellEnd"/>
      <w:r w:rsidRPr="00640A47">
        <w:rPr>
          <w:rFonts w:cstheme="minorHAnsi"/>
        </w:rPr>
        <w:t xml:space="preserve"> Menor, 2016, pp. 263-264</w:t>
      </w:r>
    </w:p>
  </w:footnote>
  <w:footnote w:id="18">
    <w:p w:rsidR="00BB4C87" w:rsidRPr="00640A47" w:rsidRDefault="00BB4C87">
      <w:pPr>
        <w:pStyle w:val="Textonotapie"/>
        <w:rPr>
          <w:rFonts w:cstheme="minorHAnsi"/>
        </w:rPr>
      </w:pPr>
      <w:r w:rsidRPr="00640A47">
        <w:rPr>
          <w:rStyle w:val="Refdenotaalpie"/>
          <w:rFonts w:cstheme="minorHAnsi"/>
        </w:rPr>
        <w:footnoteRef/>
      </w:r>
      <w:r w:rsidRPr="00640A47">
        <w:rPr>
          <w:rFonts w:cstheme="minorHAnsi"/>
        </w:rPr>
        <w:t xml:space="preserve"> </w:t>
      </w:r>
      <w:proofErr w:type="spellStart"/>
      <w:r w:rsidRPr="008B7411">
        <w:rPr>
          <w:rFonts w:cstheme="minorHAnsi"/>
          <w:smallCaps/>
        </w:rPr>
        <w:t>Vaquer</w:t>
      </w:r>
      <w:proofErr w:type="spellEnd"/>
      <w:r w:rsidRPr="008B7411">
        <w:rPr>
          <w:rFonts w:cstheme="minorHAnsi"/>
          <w:smallCaps/>
        </w:rPr>
        <w:t xml:space="preserve"> </w:t>
      </w:r>
      <w:proofErr w:type="spellStart"/>
      <w:r w:rsidRPr="008B7411">
        <w:rPr>
          <w:rFonts w:cstheme="minorHAnsi"/>
          <w:smallCaps/>
        </w:rPr>
        <w:t>Aloy</w:t>
      </w:r>
      <w:proofErr w:type="spellEnd"/>
      <w:r w:rsidRPr="00640A47">
        <w:rPr>
          <w:rFonts w:cstheme="minorHAnsi"/>
        </w:rPr>
        <w:t xml:space="preserve">, </w:t>
      </w:r>
      <w:r w:rsidR="008B7411" w:rsidRPr="00640A47">
        <w:rPr>
          <w:rFonts w:cstheme="minorHAnsi"/>
        </w:rPr>
        <w:t>Antoni</w:t>
      </w:r>
      <w:r w:rsidR="008B7411">
        <w:rPr>
          <w:rFonts w:cstheme="minorHAnsi"/>
        </w:rPr>
        <w:t>,</w:t>
      </w:r>
      <w:r w:rsidR="008B7411" w:rsidRPr="00640A47">
        <w:rPr>
          <w:rFonts w:cstheme="minorHAnsi"/>
        </w:rPr>
        <w:t xml:space="preserve"> </w:t>
      </w:r>
      <w:r w:rsidRPr="00640A47">
        <w:rPr>
          <w:rFonts w:cstheme="minorHAnsi"/>
        </w:rPr>
        <w:t xml:space="preserve">“Reflexiones sobre una eventual reforma de la legítima”, </w:t>
      </w:r>
      <w:proofErr w:type="spellStart"/>
      <w:r w:rsidRPr="00640A47">
        <w:rPr>
          <w:rFonts w:cstheme="minorHAnsi"/>
          <w:i/>
        </w:rPr>
        <w:t>InDret</w:t>
      </w:r>
      <w:proofErr w:type="spellEnd"/>
      <w:r w:rsidRPr="00640A47">
        <w:rPr>
          <w:rFonts w:cstheme="minorHAnsi"/>
          <w:i/>
        </w:rPr>
        <w:t xml:space="preserve">, </w:t>
      </w:r>
      <w:r w:rsidRPr="00640A47">
        <w:rPr>
          <w:rFonts w:cstheme="minorHAnsi"/>
        </w:rPr>
        <w:t>2007/3, pp. 5-6.</w:t>
      </w:r>
    </w:p>
  </w:footnote>
  <w:footnote w:id="19">
    <w:p w:rsidR="00BB4C87" w:rsidRPr="00640A47" w:rsidRDefault="00BB4C87">
      <w:pPr>
        <w:pStyle w:val="Textonotapie"/>
        <w:rPr>
          <w:rFonts w:cstheme="minorHAnsi"/>
          <w:lang w:val="en-US"/>
        </w:rPr>
      </w:pPr>
      <w:r w:rsidRPr="00640A47">
        <w:rPr>
          <w:rStyle w:val="Refdenotaalpie"/>
          <w:rFonts w:cstheme="minorHAnsi"/>
        </w:rPr>
        <w:footnoteRef/>
      </w:r>
      <w:r w:rsidRPr="00640A47">
        <w:rPr>
          <w:rFonts w:cstheme="minorHAnsi"/>
          <w:lang w:val="en-US"/>
        </w:rPr>
        <w:t xml:space="preserve"> </w:t>
      </w:r>
      <w:r w:rsidRPr="008B7411">
        <w:rPr>
          <w:rFonts w:cstheme="minorHAnsi"/>
          <w:smallCaps/>
          <w:lang w:val="en-US"/>
        </w:rPr>
        <w:t>Sloan</w:t>
      </w:r>
      <w:r w:rsidRPr="00640A47">
        <w:rPr>
          <w:rFonts w:cstheme="minorHAnsi"/>
          <w:lang w:val="en-US"/>
        </w:rPr>
        <w:t>,</w:t>
      </w:r>
      <w:r w:rsidR="008B7411" w:rsidRPr="008B7411">
        <w:rPr>
          <w:rFonts w:cstheme="minorHAnsi"/>
          <w:lang w:val="en-US"/>
        </w:rPr>
        <w:t xml:space="preserve"> </w:t>
      </w:r>
      <w:r w:rsidR="008B7411" w:rsidRPr="00640A47">
        <w:rPr>
          <w:rFonts w:cstheme="minorHAnsi"/>
          <w:lang w:val="en-US"/>
        </w:rPr>
        <w:t>Brian</w:t>
      </w:r>
      <w:r w:rsidR="008B7411">
        <w:rPr>
          <w:rFonts w:cstheme="minorHAnsi"/>
          <w:lang w:val="en-US"/>
        </w:rPr>
        <w:t>,</w:t>
      </w:r>
      <w:r w:rsidRPr="00640A47">
        <w:rPr>
          <w:rFonts w:cstheme="minorHAnsi"/>
          <w:lang w:val="en-US"/>
        </w:rPr>
        <w:t xml:space="preserve"> </w:t>
      </w:r>
      <w:proofErr w:type="spellStart"/>
      <w:r w:rsidRPr="00640A47">
        <w:rPr>
          <w:rFonts w:cstheme="minorHAnsi"/>
          <w:i/>
          <w:lang w:val="en-US"/>
        </w:rPr>
        <w:t>Borkowski’s</w:t>
      </w:r>
      <w:proofErr w:type="spellEnd"/>
      <w:r w:rsidRPr="00640A47">
        <w:rPr>
          <w:rFonts w:cstheme="minorHAnsi"/>
          <w:i/>
          <w:lang w:val="en-US"/>
        </w:rPr>
        <w:t xml:space="preserve"> Law of Succession, </w:t>
      </w:r>
      <w:r w:rsidRPr="00640A47">
        <w:rPr>
          <w:rFonts w:cstheme="minorHAnsi"/>
          <w:lang w:val="en-US"/>
        </w:rPr>
        <w:t xml:space="preserve">3ª ed., </w:t>
      </w:r>
      <w:r w:rsidR="008B7411">
        <w:rPr>
          <w:rFonts w:cstheme="minorHAnsi"/>
          <w:lang w:val="en-US"/>
        </w:rPr>
        <w:t xml:space="preserve">Oxford University Press, </w:t>
      </w:r>
      <w:r w:rsidRPr="00640A47">
        <w:rPr>
          <w:rFonts w:cstheme="minorHAnsi"/>
          <w:lang w:val="en-US"/>
        </w:rPr>
        <w:t>Oxford, 2017, p. 269.</w:t>
      </w:r>
    </w:p>
  </w:footnote>
  <w:footnote w:id="20">
    <w:p w:rsidR="00BB4C87" w:rsidRPr="00640A47" w:rsidRDefault="00BB4C87" w:rsidP="00241769">
      <w:pPr>
        <w:pStyle w:val="Textonotapie"/>
        <w:jc w:val="both"/>
        <w:rPr>
          <w:rFonts w:cstheme="minorHAnsi"/>
          <w:lang w:val="en-US"/>
        </w:rPr>
      </w:pPr>
      <w:r w:rsidRPr="00640A47">
        <w:rPr>
          <w:rStyle w:val="Refdenotaalpie"/>
          <w:rFonts w:cstheme="minorHAnsi"/>
        </w:rPr>
        <w:footnoteRef/>
      </w:r>
      <w:r w:rsidRPr="00640A47">
        <w:rPr>
          <w:rFonts w:cstheme="minorHAnsi"/>
          <w:lang w:val="en-US"/>
        </w:rPr>
        <w:t xml:space="preserve"> </w:t>
      </w:r>
      <w:proofErr w:type="spellStart"/>
      <w:r w:rsidRPr="00640A47">
        <w:rPr>
          <w:rFonts w:cstheme="minorHAnsi"/>
          <w:smallCaps/>
          <w:lang w:val="en-US"/>
        </w:rPr>
        <w:t>Kerridge</w:t>
      </w:r>
      <w:proofErr w:type="spellEnd"/>
      <w:r w:rsidRPr="00640A47">
        <w:rPr>
          <w:rFonts w:cstheme="minorHAnsi"/>
          <w:lang w:val="en-US"/>
        </w:rPr>
        <w:t xml:space="preserve">, </w:t>
      </w:r>
      <w:r w:rsidR="008B7411" w:rsidRPr="00640A47">
        <w:rPr>
          <w:rFonts w:cstheme="minorHAnsi"/>
          <w:lang w:val="en-US"/>
        </w:rPr>
        <w:t>Roger</w:t>
      </w:r>
      <w:r w:rsidR="008B7411">
        <w:rPr>
          <w:rFonts w:cstheme="minorHAnsi"/>
          <w:lang w:val="en-US"/>
        </w:rPr>
        <w:t>,</w:t>
      </w:r>
      <w:r w:rsidR="008B7411" w:rsidRPr="00640A47">
        <w:rPr>
          <w:rFonts w:cstheme="minorHAnsi"/>
          <w:lang w:val="en-US"/>
        </w:rPr>
        <w:t xml:space="preserve"> </w:t>
      </w:r>
      <w:r w:rsidRPr="00640A47">
        <w:rPr>
          <w:rFonts w:cstheme="minorHAnsi"/>
          <w:i/>
          <w:lang w:val="en-US"/>
        </w:rPr>
        <w:t xml:space="preserve">Parry and </w:t>
      </w:r>
      <w:proofErr w:type="spellStart"/>
      <w:r w:rsidRPr="00640A47">
        <w:rPr>
          <w:rFonts w:cstheme="minorHAnsi"/>
          <w:i/>
          <w:lang w:val="en-US"/>
        </w:rPr>
        <w:t>Kerridge</w:t>
      </w:r>
      <w:proofErr w:type="spellEnd"/>
      <w:r w:rsidRPr="00640A47">
        <w:rPr>
          <w:rFonts w:cstheme="minorHAnsi"/>
          <w:i/>
          <w:lang w:val="en-US"/>
        </w:rPr>
        <w:t xml:space="preserve">: The Law of Succession, </w:t>
      </w:r>
      <w:r w:rsidRPr="00640A47">
        <w:rPr>
          <w:rFonts w:cstheme="minorHAnsi"/>
          <w:lang w:val="en-US"/>
        </w:rPr>
        <w:t xml:space="preserve">13ª ed., </w:t>
      </w:r>
      <w:r w:rsidR="008B7411">
        <w:rPr>
          <w:rFonts w:cstheme="minorHAnsi"/>
          <w:lang w:val="en-US"/>
        </w:rPr>
        <w:t xml:space="preserve">Sweet &amp; Maxwell, </w:t>
      </w:r>
      <w:r w:rsidRPr="00640A47">
        <w:rPr>
          <w:rFonts w:cstheme="minorHAnsi"/>
          <w:lang w:val="en-US"/>
        </w:rPr>
        <w:t xml:space="preserve">London, 2016, 8-64 a 8-68; </w:t>
      </w:r>
      <w:r w:rsidRPr="00640A47">
        <w:rPr>
          <w:rFonts w:cstheme="minorHAnsi"/>
          <w:smallCaps/>
          <w:color w:val="000000" w:themeColor="text1"/>
          <w:lang w:val="en-PH"/>
        </w:rPr>
        <w:t>Ross Martyn</w:t>
      </w:r>
      <w:r w:rsidR="008B7411">
        <w:rPr>
          <w:rFonts w:cstheme="minorHAnsi"/>
          <w:smallCaps/>
          <w:color w:val="000000" w:themeColor="text1"/>
          <w:lang w:val="en-PH"/>
        </w:rPr>
        <w:t>,</w:t>
      </w:r>
      <w:r w:rsidR="008B7411" w:rsidRPr="008B7411">
        <w:rPr>
          <w:rFonts w:cstheme="minorHAnsi"/>
          <w:color w:val="000000" w:themeColor="text1"/>
          <w:lang w:val="en-PH"/>
        </w:rPr>
        <w:t xml:space="preserve"> </w:t>
      </w:r>
      <w:r w:rsidR="008B7411" w:rsidRPr="00640A47">
        <w:rPr>
          <w:rFonts w:cstheme="minorHAnsi"/>
          <w:color w:val="000000" w:themeColor="text1"/>
          <w:lang w:val="en-PH"/>
        </w:rPr>
        <w:t>John G</w:t>
      </w:r>
      <w:r w:rsidR="008B7411">
        <w:rPr>
          <w:rFonts w:cstheme="minorHAnsi"/>
          <w:color w:val="000000" w:themeColor="text1"/>
          <w:lang w:val="en-PH"/>
        </w:rPr>
        <w:t>,</w:t>
      </w:r>
      <w:r w:rsidRPr="00640A47">
        <w:rPr>
          <w:rFonts w:cstheme="minorHAnsi"/>
          <w:color w:val="000000" w:themeColor="text1"/>
          <w:lang w:val="en-PH"/>
        </w:rPr>
        <w:t xml:space="preserve"> </w:t>
      </w:r>
      <w:r w:rsidRPr="00640A47">
        <w:rPr>
          <w:rFonts w:cstheme="minorHAnsi"/>
          <w:i/>
          <w:color w:val="000000" w:themeColor="text1"/>
          <w:lang w:val="en-PH"/>
        </w:rPr>
        <w:t>et al, Theobald on wills</w:t>
      </w:r>
      <w:r w:rsidRPr="00640A47">
        <w:rPr>
          <w:rFonts w:cstheme="minorHAnsi"/>
          <w:color w:val="000000" w:themeColor="text1"/>
          <w:lang w:val="en-PH"/>
        </w:rPr>
        <w:t xml:space="preserve">, </w:t>
      </w:r>
      <w:r w:rsidR="008B7411">
        <w:rPr>
          <w:rFonts w:cstheme="minorHAnsi"/>
          <w:color w:val="000000" w:themeColor="text1"/>
          <w:lang w:val="en-PH"/>
        </w:rPr>
        <w:t xml:space="preserve">Sweet &amp; Maxwell, </w:t>
      </w:r>
      <w:r w:rsidRPr="00640A47">
        <w:rPr>
          <w:rFonts w:cstheme="minorHAnsi"/>
          <w:color w:val="000000" w:themeColor="text1"/>
          <w:lang w:val="en-PH"/>
        </w:rPr>
        <w:t xml:space="preserve">London, 2016, 11-047 y -048; </w:t>
      </w:r>
      <w:r w:rsidRPr="00640A47">
        <w:rPr>
          <w:rFonts w:cstheme="minorHAnsi"/>
          <w:smallCaps/>
          <w:color w:val="000000" w:themeColor="text1"/>
          <w:lang w:val="en-PH"/>
        </w:rPr>
        <w:t>Sawyer</w:t>
      </w:r>
      <w:r w:rsidRPr="00640A47">
        <w:rPr>
          <w:rFonts w:cstheme="minorHAnsi"/>
          <w:color w:val="000000" w:themeColor="text1"/>
          <w:lang w:val="en-PH"/>
        </w:rPr>
        <w:t xml:space="preserve">, </w:t>
      </w:r>
      <w:r w:rsidR="008B7411" w:rsidRPr="00640A47">
        <w:rPr>
          <w:rFonts w:cstheme="minorHAnsi"/>
          <w:color w:val="000000" w:themeColor="text1"/>
          <w:lang w:val="en-PH"/>
        </w:rPr>
        <w:t>Caroline</w:t>
      </w:r>
      <w:r w:rsidR="008B7411">
        <w:rPr>
          <w:rFonts w:cstheme="minorHAnsi"/>
          <w:color w:val="000000" w:themeColor="text1"/>
          <w:lang w:val="en-PH"/>
        </w:rPr>
        <w:t>,</w:t>
      </w:r>
      <w:r w:rsidR="008B7411" w:rsidRPr="00640A47">
        <w:rPr>
          <w:rFonts w:cstheme="minorHAnsi"/>
          <w:smallCaps/>
          <w:color w:val="000000" w:themeColor="text1"/>
          <w:lang w:val="en-PH"/>
        </w:rPr>
        <w:t xml:space="preserve"> </w:t>
      </w:r>
      <w:proofErr w:type="spellStart"/>
      <w:r w:rsidRPr="00640A47">
        <w:rPr>
          <w:rFonts w:cstheme="minorHAnsi"/>
          <w:color w:val="000000" w:themeColor="text1"/>
          <w:lang w:val="en-PH"/>
        </w:rPr>
        <w:t>S</w:t>
      </w:r>
      <w:r w:rsidRPr="00640A47">
        <w:rPr>
          <w:rFonts w:cstheme="minorHAnsi"/>
          <w:smallCaps/>
          <w:color w:val="000000" w:themeColor="text1"/>
          <w:lang w:val="en-PH"/>
        </w:rPr>
        <w:t>pero</w:t>
      </w:r>
      <w:proofErr w:type="spellEnd"/>
      <w:r w:rsidRPr="00640A47">
        <w:rPr>
          <w:rFonts w:cstheme="minorHAnsi"/>
          <w:smallCaps/>
          <w:color w:val="000000" w:themeColor="text1"/>
          <w:lang w:val="en-PH"/>
        </w:rPr>
        <w:t>,</w:t>
      </w:r>
      <w:r w:rsidR="008B7411" w:rsidRPr="008B7411">
        <w:rPr>
          <w:rFonts w:cstheme="minorHAnsi"/>
          <w:color w:val="000000" w:themeColor="text1"/>
          <w:lang w:val="en-PH"/>
        </w:rPr>
        <w:t xml:space="preserve"> </w:t>
      </w:r>
      <w:r w:rsidR="008B7411" w:rsidRPr="00640A47">
        <w:rPr>
          <w:rFonts w:cstheme="minorHAnsi"/>
          <w:color w:val="000000" w:themeColor="text1"/>
          <w:lang w:val="en-PH"/>
        </w:rPr>
        <w:t>Miriam</w:t>
      </w:r>
      <w:r w:rsidR="008B7411">
        <w:rPr>
          <w:rFonts w:cstheme="minorHAnsi"/>
          <w:color w:val="000000" w:themeColor="text1"/>
          <w:lang w:val="en-PH"/>
        </w:rPr>
        <w:t>,</w:t>
      </w:r>
      <w:r w:rsidRPr="00640A47">
        <w:rPr>
          <w:rFonts w:cstheme="minorHAnsi"/>
          <w:smallCaps/>
          <w:color w:val="000000" w:themeColor="text1"/>
          <w:lang w:val="en-PH"/>
        </w:rPr>
        <w:t xml:space="preserve"> </w:t>
      </w:r>
      <w:r w:rsidRPr="00640A47">
        <w:rPr>
          <w:rFonts w:cstheme="minorHAnsi"/>
          <w:i/>
          <w:color w:val="000000" w:themeColor="text1"/>
          <w:lang w:val="en-PH"/>
        </w:rPr>
        <w:t>Succession, Wills and Probate,</w:t>
      </w:r>
      <w:r w:rsidRPr="00640A47">
        <w:rPr>
          <w:rFonts w:cstheme="minorHAnsi"/>
          <w:color w:val="000000" w:themeColor="text1"/>
          <w:lang w:val="en-PH"/>
        </w:rPr>
        <w:t xml:space="preserve"> </w:t>
      </w:r>
      <w:r w:rsidR="008B7411">
        <w:rPr>
          <w:rFonts w:cstheme="minorHAnsi"/>
          <w:color w:val="000000" w:themeColor="text1"/>
          <w:lang w:val="en-PH"/>
        </w:rPr>
        <w:t xml:space="preserve">Routledge, </w:t>
      </w:r>
      <w:r w:rsidRPr="00640A47">
        <w:rPr>
          <w:rFonts w:cstheme="minorHAnsi"/>
          <w:color w:val="000000" w:themeColor="text1"/>
          <w:lang w:val="en-PH"/>
        </w:rPr>
        <w:t>London, 2015, 15-13.</w:t>
      </w:r>
    </w:p>
  </w:footnote>
  <w:footnote w:id="21">
    <w:p w:rsidR="00BB4C87" w:rsidRPr="00640A47" w:rsidRDefault="00BB4C87" w:rsidP="008F059C">
      <w:pPr>
        <w:pStyle w:val="Textonotapie"/>
        <w:jc w:val="both"/>
        <w:rPr>
          <w:rFonts w:cstheme="minorHAnsi"/>
          <w:color w:val="FF0000"/>
          <w:lang w:val="en-US"/>
        </w:rPr>
      </w:pPr>
      <w:r w:rsidRPr="00640A47">
        <w:rPr>
          <w:rStyle w:val="Refdenotaalpie"/>
          <w:rFonts w:cstheme="minorHAnsi"/>
        </w:rPr>
        <w:footnoteRef/>
      </w:r>
      <w:r w:rsidRPr="00640A47">
        <w:rPr>
          <w:rFonts w:cstheme="minorHAnsi"/>
          <w:lang w:val="en-PH"/>
        </w:rPr>
        <w:t xml:space="preserve"> </w:t>
      </w:r>
      <w:r w:rsidRPr="00640A47">
        <w:rPr>
          <w:rFonts w:cstheme="minorHAnsi"/>
          <w:color w:val="000000" w:themeColor="text1"/>
          <w:lang w:val="en-PH"/>
        </w:rPr>
        <w:t xml:space="preserve">Re Callaghan (12 Julio </w:t>
      </w:r>
      <w:r w:rsidRPr="00640A47">
        <w:rPr>
          <w:rFonts w:cstheme="minorHAnsi"/>
          <w:lang w:val="en-PH"/>
        </w:rPr>
        <w:t>1984), 3 All ER 790.</w:t>
      </w:r>
      <w:r w:rsidRPr="00640A47">
        <w:rPr>
          <w:rFonts w:cstheme="minorHAnsi"/>
          <w:color w:val="414141"/>
          <w:shd w:val="clear" w:color="auto" w:fill="F5F5F5"/>
          <w:lang w:val="en-US"/>
        </w:rPr>
        <w:t xml:space="preserve"> </w:t>
      </w:r>
      <w:r w:rsidRPr="00640A47">
        <w:rPr>
          <w:rFonts w:cstheme="minorHAnsi"/>
          <w:color w:val="000000" w:themeColor="text1"/>
          <w:lang w:val="en-US"/>
        </w:rPr>
        <w:t xml:space="preserve"> </w:t>
      </w:r>
    </w:p>
  </w:footnote>
  <w:footnote w:id="22">
    <w:p w:rsidR="00BB4C87" w:rsidRPr="00640A47" w:rsidRDefault="00BB4C87" w:rsidP="008F059C">
      <w:pPr>
        <w:pStyle w:val="Textonotapie"/>
        <w:jc w:val="both"/>
        <w:rPr>
          <w:rFonts w:cstheme="minorHAnsi"/>
          <w:lang w:val="en-US"/>
        </w:rPr>
      </w:pPr>
      <w:r w:rsidRPr="00640A47">
        <w:rPr>
          <w:rStyle w:val="Refdenotaalpie"/>
          <w:rFonts w:cstheme="minorHAnsi"/>
        </w:rPr>
        <w:footnoteRef/>
      </w:r>
      <w:r w:rsidRPr="00640A47">
        <w:rPr>
          <w:rFonts w:cstheme="minorHAnsi"/>
          <w:lang w:val="en-US"/>
        </w:rPr>
        <w:t xml:space="preserve"> </w:t>
      </w:r>
      <w:r w:rsidRPr="00640A47">
        <w:rPr>
          <w:rFonts w:cstheme="minorHAnsi"/>
          <w:smallCaps/>
          <w:lang w:val="en-US"/>
        </w:rPr>
        <w:t>Probert</w:t>
      </w:r>
      <w:r w:rsidRPr="00640A47">
        <w:rPr>
          <w:rFonts w:cstheme="minorHAnsi"/>
          <w:lang w:val="en-US"/>
        </w:rPr>
        <w:t xml:space="preserve">, </w:t>
      </w:r>
      <w:r w:rsidR="008B7411" w:rsidRPr="00640A47">
        <w:rPr>
          <w:rFonts w:cstheme="minorHAnsi"/>
          <w:lang w:val="en-US"/>
        </w:rPr>
        <w:t>Rebecca</w:t>
      </w:r>
      <w:r w:rsidR="008B7411">
        <w:rPr>
          <w:rFonts w:cstheme="minorHAnsi"/>
          <w:lang w:val="en-US"/>
        </w:rPr>
        <w:t>,</w:t>
      </w:r>
      <w:r w:rsidR="008B7411" w:rsidRPr="00640A47">
        <w:rPr>
          <w:rFonts w:cstheme="minorHAnsi"/>
          <w:lang w:val="en-US"/>
        </w:rPr>
        <w:t xml:space="preserve"> </w:t>
      </w:r>
      <w:r w:rsidRPr="00640A47">
        <w:rPr>
          <w:rFonts w:cstheme="minorHAnsi"/>
          <w:lang w:val="en-US"/>
        </w:rPr>
        <w:t xml:space="preserve">“Who Will Benefit When We Are Gone?”, </w:t>
      </w:r>
      <w:proofErr w:type="spellStart"/>
      <w:r w:rsidRPr="00640A47">
        <w:rPr>
          <w:rFonts w:cstheme="minorHAnsi"/>
          <w:lang w:val="en-US"/>
        </w:rPr>
        <w:t>en</w:t>
      </w:r>
      <w:proofErr w:type="spellEnd"/>
      <w:r w:rsidRPr="00640A47">
        <w:rPr>
          <w:rFonts w:cstheme="minorHAnsi"/>
          <w:lang w:val="en-US"/>
        </w:rPr>
        <w:t xml:space="preserve"> Birke </w:t>
      </w:r>
      <w:proofErr w:type="spellStart"/>
      <w:r w:rsidRPr="00640A47">
        <w:rPr>
          <w:rFonts w:cstheme="minorHAnsi"/>
          <w:lang w:val="en-US"/>
        </w:rPr>
        <w:t>Häcker</w:t>
      </w:r>
      <w:proofErr w:type="spellEnd"/>
      <w:r w:rsidRPr="00640A47">
        <w:rPr>
          <w:rFonts w:cstheme="minorHAnsi"/>
          <w:lang w:val="en-US"/>
        </w:rPr>
        <w:t xml:space="preserve">, Charles Mitchell (ed.), </w:t>
      </w:r>
      <w:r w:rsidRPr="00640A47">
        <w:rPr>
          <w:rFonts w:cstheme="minorHAnsi"/>
          <w:i/>
          <w:lang w:val="en-US"/>
        </w:rPr>
        <w:t xml:space="preserve">Current Issues in Succession Law, </w:t>
      </w:r>
      <w:r w:rsidR="008B7411">
        <w:rPr>
          <w:rFonts w:cstheme="minorHAnsi"/>
          <w:lang w:val="en-US"/>
        </w:rPr>
        <w:t xml:space="preserve">Hart, </w:t>
      </w:r>
      <w:r w:rsidRPr="00640A47">
        <w:rPr>
          <w:rFonts w:cstheme="minorHAnsi"/>
          <w:lang w:val="en-US"/>
        </w:rPr>
        <w:t>Oxford, 2016, pp. 35-41.</w:t>
      </w:r>
    </w:p>
  </w:footnote>
  <w:footnote w:id="23">
    <w:p w:rsidR="00BB4C87" w:rsidRPr="00640A47" w:rsidRDefault="00BB4C87">
      <w:pPr>
        <w:pStyle w:val="Textonotapie"/>
        <w:rPr>
          <w:rFonts w:cstheme="minorHAnsi"/>
          <w:lang w:val="en-US"/>
        </w:rPr>
      </w:pPr>
      <w:r w:rsidRPr="00640A47">
        <w:rPr>
          <w:rStyle w:val="Refdenotaalpie"/>
          <w:rFonts w:cstheme="minorHAnsi"/>
        </w:rPr>
        <w:footnoteRef/>
      </w:r>
      <w:r w:rsidRPr="00640A47">
        <w:rPr>
          <w:rFonts w:cstheme="minorHAnsi"/>
          <w:lang w:val="en-US"/>
        </w:rPr>
        <w:t xml:space="preserve"> </w:t>
      </w:r>
      <w:r w:rsidRPr="00640A47">
        <w:rPr>
          <w:rFonts w:cstheme="minorHAnsi"/>
          <w:smallCaps/>
          <w:lang w:val="en-US"/>
        </w:rPr>
        <w:t>de Groot</w:t>
      </w:r>
      <w:r w:rsidRPr="00640A47">
        <w:rPr>
          <w:rFonts w:cstheme="minorHAnsi"/>
          <w:lang w:val="en-US"/>
        </w:rPr>
        <w:t xml:space="preserve">, </w:t>
      </w:r>
      <w:r w:rsidR="008B7411" w:rsidRPr="00640A47">
        <w:rPr>
          <w:rFonts w:cstheme="minorHAnsi"/>
          <w:lang w:val="en-US"/>
        </w:rPr>
        <w:t>John</w:t>
      </w:r>
      <w:r w:rsidR="008B7411">
        <w:rPr>
          <w:rFonts w:cstheme="minorHAnsi"/>
          <w:lang w:val="en-US"/>
        </w:rPr>
        <w:t>,</w:t>
      </w:r>
      <w:r w:rsidR="008B7411" w:rsidRPr="00640A47">
        <w:rPr>
          <w:rFonts w:cstheme="minorHAnsi"/>
          <w:lang w:val="en-US"/>
        </w:rPr>
        <w:t xml:space="preserve"> </w:t>
      </w:r>
      <w:r w:rsidRPr="00640A47">
        <w:rPr>
          <w:rFonts w:cstheme="minorHAnsi"/>
          <w:smallCaps/>
          <w:lang w:val="en-US"/>
        </w:rPr>
        <w:t>Nickel</w:t>
      </w:r>
      <w:r w:rsidRPr="00640A47">
        <w:rPr>
          <w:rFonts w:cstheme="minorHAnsi"/>
          <w:lang w:val="en-US"/>
        </w:rPr>
        <w:t>,</w:t>
      </w:r>
      <w:r w:rsidR="008B7411" w:rsidRPr="008B7411">
        <w:rPr>
          <w:rFonts w:cstheme="minorHAnsi"/>
          <w:lang w:val="en-US"/>
        </w:rPr>
        <w:t xml:space="preserve"> </w:t>
      </w:r>
      <w:r w:rsidR="008B7411" w:rsidRPr="00640A47">
        <w:rPr>
          <w:rFonts w:cstheme="minorHAnsi"/>
          <w:lang w:val="en-US"/>
        </w:rPr>
        <w:t>Bruce</w:t>
      </w:r>
      <w:r w:rsidR="008B7411">
        <w:rPr>
          <w:rFonts w:cstheme="minorHAnsi"/>
          <w:lang w:val="en-US"/>
        </w:rPr>
        <w:t>,</w:t>
      </w:r>
      <w:r w:rsidRPr="00640A47">
        <w:rPr>
          <w:rFonts w:cstheme="minorHAnsi"/>
          <w:lang w:val="en-US"/>
        </w:rPr>
        <w:t xml:space="preserve"> </w:t>
      </w:r>
      <w:r w:rsidRPr="00640A47">
        <w:rPr>
          <w:rFonts w:cstheme="minorHAnsi"/>
          <w:i/>
          <w:lang w:val="en-US"/>
        </w:rPr>
        <w:t xml:space="preserve">Family Provision in Australia, </w:t>
      </w:r>
      <w:r w:rsidRPr="00640A47">
        <w:rPr>
          <w:rFonts w:cstheme="minorHAnsi"/>
          <w:lang w:val="en-US"/>
        </w:rPr>
        <w:t xml:space="preserve">5ª </w:t>
      </w:r>
      <w:proofErr w:type="spellStart"/>
      <w:r w:rsidRPr="00640A47">
        <w:rPr>
          <w:rFonts w:cstheme="minorHAnsi"/>
          <w:lang w:val="en-US"/>
        </w:rPr>
        <w:t>ed</w:t>
      </w:r>
      <w:proofErr w:type="spellEnd"/>
      <w:r w:rsidRPr="00640A47">
        <w:rPr>
          <w:rFonts w:cstheme="minorHAnsi"/>
          <w:lang w:val="en-US"/>
        </w:rPr>
        <w:t xml:space="preserve">, </w:t>
      </w:r>
      <w:proofErr w:type="spellStart"/>
      <w:r w:rsidR="008B7411">
        <w:rPr>
          <w:rFonts w:cstheme="minorHAnsi"/>
          <w:lang w:val="en-US"/>
        </w:rPr>
        <w:t>Lexis.Nexis</w:t>
      </w:r>
      <w:proofErr w:type="spellEnd"/>
      <w:r w:rsidR="008B7411">
        <w:rPr>
          <w:rFonts w:cstheme="minorHAnsi"/>
          <w:lang w:val="en-US"/>
        </w:rPr>
        <w:t xml:space="preserve">, </w:t>
      </w:r>
      <w:proofErr w:type="spellStart"/>
      <w:r w:rsidRPr="00640A47">
        <w:rPr>
          <w:rFonts w:cstheme="minorHAnsi"/>
          <w:lang w:val="en-US"/>
        </w:rPr>
        <w:t>Chastwood</w:t>
      </w:r>
      <w:proofErr w:type="spellEnd"/>
      <w:r w:rsidRPr="00640A47">
        <w:rPr>
          <w:rFonts w:cstheme="minorHAnsi"/>
          <w:lang w:val="en-US"/>
        </w:rPr>
        <w:t>, 2017</w:t>
      </w:r>
      <w:proofErr w:type="gramStart"/>
      <w:r w:rsidRPr="00640A47">
        <w:rPr>
          <w:rFonts w:cstheme="minorHAnsi"/>
          <w:lang w:val="en-US"/>
        </w:rPr>
        <w:t>,  4.35</w:t>
      </w:r>
      <w:proofErr w:type="gramEnd"/>
      <w:r w:rsidRPr="00640A47">
        <w:rPr>
          <w:rFonts w:cstheme="minorHAnsi"/>
          <w:lang w:val="en-US"/>
        </w:rPr>
        <w:t xml:space="preserve"> ss.</w:t>
      </w:r>
    </w:p>
  </w:footnote>
  <w:footnote w:id="24">
    <w:p w:rsidR="00BB4C87" w:rsidRPr="00640A47" w:rsidRDefault="00BB4C87" w:rsidP="002E531C">
      <w:pPr>
        <w:pStyle w:val="Textonotapie"/>
        <w:jc w:val="both"/>
        <w:rPr>
          <w:rFonts w:cstheme="minorHAnsi"/>
          <w:lang w:val="en-US"/>
        </w:rPr>
      </w:pPr>
      <w:r w:rsidRPr="00640A47">
        <w:rPr>
          <w:rStyle w:val="Refdenotaalpie"/>
          <w:rFonts w:cstheme="minorHAnsi"/>
        </w:rPr>
        <w:footnoteRef/>
      </w:r>
      <w:r w:rsidRPr="00640A47">
        <w:rPr>
          <w:rFonts w:cstheme="minorHAnsi"/>
          <w:lang w:val="en-US"/>
        </w:rPr>
        <w:t xml:space="preserve"> </w:t>
      </w:r>
      <w:r w:rsidRPr="00640A47">
        <w:rPr>
          <w:rFonts w:cstheme="minorHAnsi"/>
          <w:smallCaps/>
          <w:lang w:val="en-US"/>
        </w:rPr>
        <w:t>Wilson</w:t>
      </w:r>
      <w:r w:rsidRPr="00640A47">
        <w:rPr>
          <w:rFonts w:cstheme="minorHAnsi"/>
          <w:lang w:val="en-US"/>
        </w:rPr>
        <w:t xml:space="preserve">, </w:t>
      </w:r>
      <w:r w:rsidR="008B7411" w:rsidRPr="00640A47">
        <w:rPr>
          <w:rFonts w:cstheme="minorHAnsi"/>
          <w:lang w:val="en-US"/>
        </w:rPr>
        <w:t>Samantha</w:t>
      </w:r>
      <w:r w:rsidR="008B7411">
        <w:rPr>
          <w:rFonts w:cstheme="minorHAnsi"/>
          <w:lang w:val="en-US"/>
        </w:rPr>
        <w:t>,</w:t>
      </w:r>
      <w:r w:rsidR="008B7411" w:rsidRPr="00640A47">
        <w:rPr>
          <w:rFonts w:cstheme="minorHAnsi"/>
          <w:lang w:val="en-US"/>
        </w:rPr>
        <w:t xml:space="preserve"> </w:t>
      </w:r>
      <w:r w:rsidRPr="00640A47">
        <w:rPr>
          <w:rFonts w:cstheme="minorHAnsi"/>
          <w:lang w:val="en-US"/>
        </w:rPr>
        <w:t>"Stepchildren’s Claims under Family Provision Legislation: A comparison Between New Zealand and New South Wales",</w:t>
      </w:r>
      <w:r w:rsidRPr="00640A47">
        <w:rPr>
          <w:rFonts w:cstheme="minorHAnsi"/>
          <w:i/>
          <w:lang w:val="en-US"/>
        </w:rPr>
        <w:t xml:space="preserve"> New Zealand Law Students’ Journal</w:t>
      </w:r>
      <w:r w:rsidRPr="00640A47">
        <w:rPr>
          <w:rFonts w:cstheme="minorHAnsi"/>
          <w:lang w:val="en-US"/>
        </w:rPr>
        <w:t>, 2010, p. 311 ss.</w:t>
      </w:r>
    </w:p>
  </w:footnote>
  <w:footnote w:id="25">
    <w:p w:rsidR="00BB4C87" w:rsidRPr="00640A47" w:rsidRDefault="00BB4C87" w:rsidP="0044586E">
      <w:pPr>
        <w:pStyle w:val="Textonotapie"/>
        <w:jc w:val="both"/>
        <w:rPr>
          <w:rFonts w:cstheme="minorHAnsi"/>
          <w:lang w:val="en-US"/>
        </w:rPr>
      </w:pPr>
      <w:r w:rsidRPr="00640A47">
        <w:rPr>
          <w:rStyle w:val="Refdenotaalpie"/>
          <w:rFonts w:cstheme="minorHAnsi"/>
        </w:rPr>
        <w:footnoteRef/>
      </w:r>
      <w:r w:rsidRPr="00640A47">
        <w:rPr>
          <w:rFonts w:cstheme="minorHAnsi"/>
          <w:lang w:val="en-US"/>
        </w:rPr>
        <w:t xml:space="preserve"> </w:t>
      </w:r>
      <w:proofErr w:type="spellStart"/>
      <w:r w:rsidRPr="00640A47">
        <w:rPr>
          <w:rFonts w:cstheme="minorHAnsi"/>
          <w:lang w:val="en-US"/>
        </w:rPr>
        <w:t>Sección</w:t>
      </w:r>
      <w:proofErr w:type="spellEnd"/>
      <w:r w:rsidRPr="00640A47">
        <w:rPr>
          <w:rFonts w:cstheme="minorHAnsi"/>
          <w:lang w:val="en-US"/>
        </w:rPr>
        <w:t xml:space="preserve"> </w:t>
      </w:r>
      <w:r w:rsidR="003A3D00" w:rsidRPr="00640A47">
        <w:rPr>
          <w:rFonts w:cstheme="minorHAnsi"/>
          <w:lang w:val="en-US"/>
        </w:rPr>
        <w:t>2</w:t>
      </w:r>
      <w:r w:rsidRPr="00640A47">
        <w:rPr>
          <w:rFonts w:cstheme="minorHAnsi"/>
          <w:lang w:val="en-US"/>
        </w:rPr>
        <w:t>-</w:t>
      </w:r>
      <w:r w:rsidR="003A3D00" w:rsidRPr="00640A47">
        <w:rPr>
          <w:rFonts w:cstheme="minorHAnsi"/>
          <w:lang w:val="en-US"/>
        </w:rPr>
        <w:t>1</w:t>
      </w:r>
      <w:r w:rsidRPr="00640A47">
        <w:rPr>
          <w:rFonts w:cstheme="minorHAnsi"/>
          <w:lang w:val="en-US"/>
        </w:rPr>
        <w:t>03 (Share of heirs other than surviving spouse): “(b) If there is no taker under subsection (a), but the decedent has: (1) one deceased spouse who has one or more descendants who survive the decedent, the estate or part thereof passes to that spouse’s descendants by representation; or (2) more than one deceased spouse who has one or more descendants who survive the decedent, an equal share of the estate or part thereof passes to each set of descendants by representation”.</w:t>
      </w:r>
      <w:r w:rsidR="003A3D00" w:rsidRPr="00640A47">
        <w:rPr>
          <w:rFonts w:cstheme="minorHAnsi"/>
          <w:lang w:val="en-US"/>
        </w:rPr>
        <w:t xml:space="preserve"> </w:t>
      </w:r>
      <w:proofErr w:type="spellStart"/>
      <w:r w:rsidR="003A3D00" w:rsidRPr="00640A47">
        <w:rPr>
          <w:rFonts w:cstheme="minorHAnsi"/>
          <w:lang w:val="en-US"/>
        </w:rPr>
        <w:t>Véase</w:t>
      </w:r>
      <w:proofErr w:type="spellEnd"/>
      <w:r w:rsidR="003A3D00" w:rsidRPr="00640A47">
        <w:rPr>
          <w:rFonts w:cstheme="minorHAnsi"/>
          <w:lang w:val="en-US"/>
        </w:rPr>
        <w:t xml:space="preserve"> </w:t>
      </w:r>
      <w:proofErr w:type="spellStart"/>
      <w:r w:rsidR="003A3D00" w:rsidRPr="00640A47">
        <w:rPr>
          <w:rFonts w:cstheme="minorHAnsi"/>
          <w:smallCaps/>
          <w:lang w:val="en-US"/>
        </w:rPr>
        <w:t>Mennell</w:t>
      </w:r>
      <w:proofErr w:type="spellEnd"/>
      <w:r w:rsidR="003A3D00" w:rsidRPr="00640A47">
        <w:rPr>
          <w:rFonts w:cstheme="minorHAnsi"/>
          <w:lang w:val="en-US"/>
        </w:rPr>
        <w:t xml:space="preserve">, </w:t>
      </w:r>
      <w:r w:rsidR="008B7411" w:rsidRPr="00640A47">
        <w:rPr>
          <w:rFonts w:cstheme="minorHAnsi"/>
          <w:lang w:val="en-US"/>
        </w:rPr>
        <w:t>Robert L</w:t>
      </w:r>
      <w:r w:rsidR="008B7411">
        <w:rPr>
          <w:rFonts w:cstheme="minorHAnsi"/>
          <w:lang w:val="en-US"/>
        </w:rPr>
        <w:t>,</w:t>
      </w:r>
      <w:r w:rsidR="008B7411" w:rsidRPr="00640A47">
        <w:rPr>
          <w:rFonts w:cstheme="minorHAnsi"/>
          <w:lang w:val="en-US"/>
        </w:rPr>
        <w:t xml:space="preserve"> </w:t>
      </w:r>
      <w:r w:rsidR="003A3D00" w:rsidRPr="00640A47">
        <w:rPr>
          <w:rFonts w:cstheme="minorHAnsi"/>
          <w:smallCaps/>
          <w:lang w:val="en-US"/>
        </w:rPr>
        <w:t>Burr</w:t>
      </w:r>
      <w:r w:rsidR="003A3D00" w:rsidRPr="00640A47">
        <w:rPr>
          <w:rFonts w:cstheme="minorHAnsi"/>
          <w:lang w:val="en-US"/>
        </w:rPr>
        <w:t>,</w:t>
      </w:r>
      <w:r w:rsidR="008B7411" w:rsidRPr="008B7411">
        <w:rPr>
          <w:rFonts w:cstheme="minorHAnsi"/>
          <w:lang w:val="en-US"/>
        </w:rPr>
        <w:t xml:space="preserve"> </w:t>
      </w:r>
      <w:r w:rsidR="008B7411" w:rsidRPr="00640A47">
        <w:rPr>
          <w:rFonts w:cstheme="minorHAnsi"/>
          <w:lang w:val="en-US"/>
        </w:rPr>
        <w:t>Sherri L</w:t>
      </w:r>
      <w:r w:rsidR="008B7411">
        <w:rPr>
          <w:rFonts w:cstheme="minorHAnsi"/>
          <w:lang w:val="en-US"/>
        </w:rPr>
        <w:t>,</w:t>
      </w:r>
      <w:r w:rsidR="003A3D00" w:rsidRPr="00640A47">
        <w:rPr>
          <w:rFonts w:cstheme="minorHAnsi"/>
          <w:lang w:val="en-US"/>
        </w:rPr>
        <w:t xml:space="preserve"> </w:t>
      </w:r>
      <w:r w:rsidR="003A3D00" w:rsidRPr="00640A47">
        <w:rPr>
          <w:rFonts w:cstheme="minorHAnsi"/>
          <w:i/>
          <w:lang w:val="en-US"/>
        </w:rPr>
        <w:t xml:space="preserve">Wills and Trusts in a Nutshell, </w:t>
      </w:r>
      <w:r w:rsidR="003A3D00" w:rsidRPr="00640A47">
        <w:rPr>
          <w:rFonts w:cstheme="minorHAnsi"/>
          <w:lang w:val="en-US"/>
        </w:rPr>
        <w:t xml:space="preserve">5ª ed., </w:t>
      </w:r>
      <w:r w:rsidR="008B7411">
        <w:rPr>
          <w:rFonts w:cstheme="minorHAnsi"/>
          <w:lang w:val="en-US"/>
        </w:rPr>
        <w:t xml:space="preserve">West, </w:t>
      </w:r>
      <w:r w:rsidR="003A3D00" w:rsidRPr="00640A47">
        <w:rPr>
          <w:rFonts w:cstheme="minorHAnsi"/>
          <w:lang w:val="en-US"/>
        </w:rPr>
        <w:t>St Paul, MN, 2017</w:t>
      </w:r>
    </w:p>
  </w:footnote>
  <w:footnote w:id="26">
    <w:p w:rsidR="00BB4C87" w:rsidRPr="00640A47" w:rsidRDefault="00BB4C87" w:rsidP="000502AB">
      <w:pPr>
        <w:pStyle w:val="Textonotapie"/>
        <w:jc w:val="both"/>
        <w:rPr>
          <w:rFonts w:cstheme="minorHAnsi"/>
          <w:lang w:val="en-US"/>
        </w:rPr>
      </w:pPr>
      <w:r w:rsidRPr="00640A47">
        <w:rPr>
          <w:rStyle w:val="Refdenotaalpie"/>
          <w:rFonts w:cstheme="minorHAnsi"/>
        </w:rPr>
        <w:footnoteRef/>
      </w:r>
      <w:r w:rsidRPr="00640A47">
        <w:rPr>
          <w:rFonts w:cstheme="minorHAnsi"/>
          <w:lang w:val="en-US"/>
        </w:rPr>
        <w:t xml:space="preserve"> § 6454 California Probate Code: “For the purpose of determining intestate succession by a person or the person's issue from or through a foster parent or stepparent, the relationship of parent and child exists between that person and the person's foster parent or stepparent if both of the following requirements are satisfied:</w:t>
      </w:r>
    </w:p>
    <w:p w:rsidR="00BB4C87" w:rsidRPr="00640A47" w:rsidRDefault="00BB4C87" w:rsidP="000502AB">
      <w:pPr>
        <w:pStyle w:val="Textonotapie"/>
        <w:jc w:val="both"/>
        <w:rPr>
          <w:rFonts w:cstheme="minorHAnsi"/>
          <w:lang w:val="en-US"/>
        </w:rPr>
      </w:pPr>
      <w:r w:rsidRPr="00640A47">
        <w:rPr>
          <w:rFonts w:cstheme="minorHAnsi"/>
          <w:lang w:val="en-US"/>
        </w:rPr>
        <w:t>(a) The relationship began during the person's minority and continued throughout the joint lifetimes of the person and the person's foster parent or stepparent.</w:t>
      </w:r>
    </w:p>
    <w:p w:rsidR="00BB4C87" w:rsidRPr="00640A47" w:rsidRDefault="00BB4C87" w:rsidP="000502AB">
      <w:pPr>
        <w:pStyle w:val="Textonotapie"/>
        <w:jc w:val="both"/>
        <w:rPr>
          <w:rFonts w:cstheme="minorHAnsi"/>
          <w:lang w:val="en-US"/>
        </w:rPr>
      </w:pPr>
      <w:r w:rsidRPr="00640A47">
        <w:rPr>
          <w:rFonts w:cstheme="minorHAnsi"/>
          <w:lang w:val="en-US"/>
        </w:rPr>
        <w:t>(b) It is established by clear and convincing evidence that the foster parent or stepparent would have adopted the person but for a legal barrier”.</w:t>
      </w:r>
    </w:p>
  </w:footnote>
  <w:footnote w:id="27">
    <w:p w:rsidR="00BA63C0" w:rsidRPr="00640A47" w:rsidRDefault="00BA63C0" w:rsidP="00AC54EE">
      <w:pPr>
        <w:pStyle w:val="Textonotapie"/>
        <w:jc w:val="both"/>
        <w:rPr>
          <w:rFonts w:cstheme="minorHAnsi"/>
          <w:lang w:val="en-US"/>
        </w:rPr>
      </w:pPr>
      <w:r w:rsidRPr="00640A47">
        <w:rPr>
          <w:rStyle w:val="Refdenotaalpie"/>
          <w:rFonts w:cstheme="minorHAnsi"/>
        </w:rPr>
        <w:footnoteRef/>
      </w:r>
      <w:r w:rsidRPr="00640A47">
        <w:rPr>
          <w:rFonts w:cstheme="minorHAnsi"/>
        </w:rPr>
        <w:t xml:space="preserve"> </w:t>
      </w:r>
      <w:r w:rsidRPr="00640A47">
        <w:rPr>
          <w:rFonts w:cstheme="minorHAnsi"/>
          <w:smallCaps/>
        </w:rPr>
        <w:t>Gary</w:t>
      </w:r>
      <w:r w:rsidRPr="00640A47">
        <w:rPr>
          <w:rFonts w:cstheme="minorHAnsi"/>
        </w:rPr>
        <w:t xml:space="preserve">, </w:t>
      </w:r>
      <w:proofErr w:type="spellStart"/>
      <w:r w:rsidR="008B7411" w:rsidRPr="00640A47">
        <w:rPr>
          <w:rFonts w:cstheme="minorHAnsi"/>
        </w:rPr>
        <w:t>Susan</w:t>
      </w:r>
      <w:proofErr w:type="spellEnd"/>
      <w:r w:rsidR="008B7411" w:rsidRPr="00640A47">
        <w:rPr>
          <w:rFonts w:cstheme="minorHAnsi"/>
        </w:rPr>
        <w:t xml:space="preserve"> N</w:t>
      </w:r>
      <w:r w:rsidR="008B7411">
        <w:rPr>
          <w:rFonts w:cstheme="minorHAnsi"/>
        </w:rPr>
        <w:t>,</w:t>
      </w:r>
      <w:r w:rsidR="008B7411" w:rsidRPr="00640A47">
        <w:rPr>
          <w:rFonts w:cstheme="minorHAnsi"/>
        </w:rPr>
        <w:t xml:space="preserve"> </w:t>
      </w:r>
      <w:r w:rsidRPr="00640A47">
        <w:rPr>
          <w:rFonts w:cstheme="minorHAnsi"/>
        </w:rPr>
        <w:t>“</w:t>
      </w:r>
      <w:proofErr w:type="spellStart"/>
      <w:r w:rsidRPr="00640A47">
        <w:rPr>
          <w:rFonts w:cstheme="minorHAnsi"/>
        </w:rPr>
        <w:t>Adapting</w:t>
      </w:r>
      <w:proofErr w:type="spellEnd"/>
      <w:r w:rsidRPr="00640A47">
        <w:rPr>
          <w:rFonts w:cstheme="minorHAnsi"/>
        </w:rPr>
        <w:t xml:space="preserve"> </w:t>
      </w:r>
      <w:proofErr w:type="spellStart"/>
      <w:r w:rsidRPr="00640A47">
        <w:rPr>
          <w:rFonts w:cstheme="minorHAnsi"/>
        </w:rPr>
        <w:t>Intestacy</w:t>
      </w:r>
      <w:proofErr w:type="spellEnd"/>
      <w:r w:rsidRPr="00640A47">
        <w:rPr>
          <w:rFonts w:cstheme="minorHAnsi"/>
        </w:rPr>
        <w:t xml:space="preserve"> </w:t>
      </w:r>
      <w:proofErr w:type="spellStart"/>
      <w:r w:rsidRPr="00640A47">
        <w:rPr>
          <w:rFonts w:cstheme="minorHAnsi"/>
        </w:rPr>
        <w:t>Laws</w:t>
      </w:r>
      <w:proofErr w:type="spellEnd"/>
      <w:r w:rsidRPr="00640A47">
        <w:rPr>
          <w:rFonts w:cstheme="minorHAnsi"/>
        </w:rPr>
        <w:t xml:space="preserve"> to </w:t>
      </w:r>
      <w:proofErr w:type="spellStart"/>
      <w:r w:rsidRPr="00640A47">
        <w:rPr>
          <w:rFonts w:cstheme="minorHAnsi"/>
        </w:rPr>
        <w:t>Changing</w:t>
      </w:r>
      <w:proofErr w:type="spellEnd"/>
      <w:r w:rsidRPr="00640A47">
        <w:rPr>
          <w:rFonts w:cstheme="minorHAnsi"/>
        </w:rPr>
        <w:t xml:space="preserve"> </w:t>
      </w:r>
      <w:proofErr w:type="spellStart"/>
      <w:r w:rsidRPr="00640A47">
        <w:rPr>
          <w:rFonts w:cstheme="minorHAnsi"/>
        </w:rPr>
        <w:t>Families</w:t>
      </w:r>
      <w:proofErr w:type="spellEnd"/>
      <w:r w:rsidRPr="00640A47">
        <w:rPr>
          <w:rFonts w:cstheme="minorHAnsi"/>
        </w:rPr>
        <w:t xml:space="preserve">”, </w:t>
      </w:r>
      <w:proofErr w:type="spellStart"/>
      <w:r w:rsidRPr="00640A47">
        <w:rPr>
          <w:rFonts w:cstheme="minorHAnsi"/>
          <w:i/>
        </w:rPr>
        <w:t>Law</w:t>
      </w:r>
      <w:proofErr w:type="spellEnd"/>
      <w:r w:rsidRPr="00640A47">
        <w:rPr>
          <w:rFonts w:cstheme="minorHAnsi"/>
          <w:i/>
        </w:rPr>
        <w:t xml:space="preserve"> &amp; </w:t>
      </w:r>
      <w:proofErr w:type="spellStart"/>
      <w:r w:rsidRPr="00640A47">
        <w:rPr>
          <w:rFonts w:cstheme="minorHAnsi"/>
          <w:i/>
        </w:rPr>
        <w:t>Inequality</w:t>
      </w:r>
      <w:proofErr w:type="spellEnd"/>
      <w:r w:rsidRPr="00640A47">
        <w:rPr>
          <w:rFonts w:cstheme="minorHAnsi"/>
          <w:i/>
        </w:rPr>
        <w:t xml:space="preserve">, </w:t>
      </w:r>
      <w:r w:rsidRPr="00640A47">
        <w:rPr>
          <w:rFonts w:cstheme="minorHAnsi"/>
        </w:rPr>
        <w:t xml:space="preserve">2000, p. 57 </w:t>
      </w:r>
      <w:proofErr w:type="spellStart"/>
      <w:r w:rsidRPr="00640A47">
        <w:rPr>
          <w:rFonts w:cstheme="minorHAnsi"/>
        </w:rPr>
        <w:t>ss</w:t>
      </w:r>
      <w:proofErr w:type="spellEnd"/>
      <w:r w:rsidRPr="00640A47">
        <w:rPr>
          <w:rFonts w:cstheme="minorHAnsi"/>
        </w:rPr>
        <w:t xml:space="preserve">, expone cómo de este modo se ha tergiversado la idea inicial de quienes propiciaron la regulación </w:t>
      </w:r>
      <w:proofErr w:type="spellStart"/>
      <w:r w:rsidRPr="00640A47">
        <w:rPr>
          <w:rFonts w:cstheme="minorHAnsi"/>
        </w:rPr>
        <w:t>californinana</w:t>
      </w:r>
      <w:proofErr w:type="spellEnd"/>
      <w:r w:rsidRPr="00640A47">
        <w:rPr>
          <w:rFonts w:cstheme="minorHAnsi"/>
        </w:rPr>
        <w:t>.</w:t>
      </w:r>
      <w:r w:rsidR="00AC54EE" w:rsidRPr="00640A47">
        <w:rPr>
          <w:rFonts w:cstheme="minorHAnsi"/>
        </w:rPr>
        <w:t xml:space="preserve"> </w:t>
      </w:r>
      <w:proofErr w:type="spellStart"/>
      <w:r w:rsidR="00AC54EE" w:rsidRPr="00640A47">
        <w:rPr>
          <w:rFonts w:cstheme="minorHAnsi"/>
          <w:lang w:val="en-US"/>
        </w:rPr>
        <w:t>Más</w:t>
      </w:r>
      <w:proofErr w:type="spellEnd"/>
      <w:r w:rsidR="00AC54EE" w:rsidRPr="00640A47">
        <w:rPr>
          <w:rFonts w:cstheme="minorHAnsi"/>
          <w:lang w:val="en-US"/>
        </w:rPr>
        <w:t xml:space="preserve"> </w:t>
      </w:r>
      <w:proofErr w:type="spellStart"/>
      <w:r w:rsidR="00AC54EE" w:rsidRPr="00640A47">
        <w:rPr>
          <w:rFonts w:cstheme="minorHAnsi"/>
          <w:lang w:val="en-US"/>
        </w:rPr>
        <w:t>críticas</w:t>
      </w:r>
      <w:proofErr w:type="spellEnd"/>
      <w:r w:rsidR="00AC54EE" w:rsidRPr="00640A47">
        <w:rPr>
          <w:rFonts w:cstheme="minorHAnsi"/>
          <w:lang w:val="en-US"/>
        </w:rPr>
        <w:t xml:space="preserve"> </w:t>
      </w:r>
      <w:proofErr w:type="spellStart"/>
      <w:r w:rsidR="00AC54EE" w:rsidRPr="00640A47">
        <w:rPr>
          <w:rFonts w:cstheme="minorHAnsi"/>
          <w:lang w:val="en-US"/>
        </w:rPr>
        <w:t>en</w:t>
      </w:r>
      <w:proofErr w:type="spellEnd"/>
      <w:r w:rsidR="00AC54EE" w:rsidRPr="00640A47">
        <w:rPr>
          <w:rFonts w:cstheme="minorHAnsi"/>
          <w:lang w:val="en-US"/>
        </w:rPr>
        <w:t xml:space="preserve"> </w:t>
      </w:r>
      <w:r w:rsidR="00AC54EE" w:rsidRPr="00640A47">
        <w:rPr>
          <w:rFonts w:cstheme="minorHAnsi"/>
          <w:smallCaps/>
          <w:lang w:val="en-US"/>
        </w:rPr>
        <w:t>Bowman</w:t>
      </w:r>
      <w:r w:rsidR="00AC54EE" w:rsidRPr="00640A47">
        <w:rPr>
          <w:rFonts w:cstheme="minorHAnsi"/>
          <w:lang w:val="en-US"/>
        </w:rPr>
        <w:t>,</w:t>
      </w:r>
      <w:r w:rsidR="008B7411" w:rsidRPr="008B7411">
        <w:rPr>
          <w:rFonts w:cstheme="minorHAnsi"/>
          <w:lang w:val="en-US"/>
        </w:rPr>
        <w:t xml:space="preserve"> </w:t>
      </w:r>
      <w:r w:rsidR="008B7411" w:rsidRPr="00640A47">
        <w:rPr>
          <w:rFonts w:cstheme="minorHAnsi"/>
          <w:lang w:val="en-US"/>
        </w:rPr>
        <w:t>Cynthia Grant</w:t>
      </w:r>
      <w:r w:rsidR="008B7411">
        <w:rPr>
          <w:rFonts w:cstheme="minorHAnsi"/>
          <w:lang w:val="en-US"/>
        </w:rPr>
        <w:t>,</w:t>
      </w:r>
      <w:r w:rsidR="00AC54EE" w:rsidRPr="00640A47">
        <w:rPr>
          <w:rFonts w:cstheme="minorHAnsi"/>
          <w:lang w:val="en-US"/>
        </w:rPr>
        <w:t xml:space="preserve"> “The New Illegitimacy: Children of Cohabiting Couples and Stepchildren”, </w:t>
      </w:r>
      <w:r w:rsidR="00AC54EE" w:rsidRPr="00640A47">
        <w:rPr>
          <w:rFonts w:cstheme="minorHAnsi"/>
          <w:i/>
          <w:lang w:val="en-US"/>
        </w:rPr>
        <w:t>Journal of Gender, Social Policy &amp; the Law</w:t>
      </w:r>
      <w:r w:rsidR="00AC54EE" w:rsidRPr="00640A47">
        <w:rPr>
          <w:rFonts w:cstheme="minorHAnsi"/>
          <w:lang w:val="en-US"/>
        </w:rPr>
        <w:t>, vol. 20/3,</w:t>
      </w:r>
      <w:r w:rsidR="00844EB8">
        <w:rPr>
          <w:rFonts w:cstheme="minorHAnsi"/>
          <w:lang w:val="en-US"/>
        </w:rPr>
        <w:t xml:space="preserve"> 2012,</w:t>
      </w:r>
      <w:r w:rsidR="00AC54EE" w:rsidRPr="00640A47">
        <w:rPr>
          <w:rFonts w:cstheme="minorHAnsi"/>
          <w:lang w:val="en-US"/>
        </w:rPr>
        <w:t xml:space="preserve"> p. 447.</w:t>
      </w:r>
    </w:p>
  </w:footnote>
  <w:footnote w:id="28">
    <w:p w:rsidR="00BB4C87" w:rsidRPr="00640A47" w:rsidRDefault="00BB4C87" w:rsidP="007E25C7">
      <w:pPr>
        <w:pStyle w:val="Textonotapie"/>
        <w:jc w:val="both"/>
        <w:rPr>
          <w:rFonts w:cstheme="minorHAnsi"/>
          <w:lang w:val="en-US"/>
        </w:rPr>
      </w:pPr>
      <w:r w:rsidRPr="00640A47">
        <w:rPr>
          <w:rStyle w:val="Refdenotaalpie"/>
          <w:rFonts w:cstheme="minorHAnsi"/>
        </w:rPr>
        <w:footnoteRef/>
      </w:r>
      <w:r w:rsidRPr="00640A47">
        <w:rPr>
          <w:rFonts w:cstheme="minorHAnsi"/>
          <w:lang w:val="en-US"/>
        </w:rPr>
        <w:t xml:space="preserve"> </w:t>
      </w:r>
      <w:r w:rsidRPr="00640A47">
        <w:rPr>
          <w:rFonts w:cstheme="minorHAnsi"/>
          <w:smallCaps/>
          <w:lang w:val="en-US"/>
        </w:rPr>
        <w:t>Mahoney</w:t>
      </w:r>
      <w:r w:rsidRPr="00640A47">
        <w:rPr>
          <w:rFonts w:cstheme="minorHAnsi"/>
          <w:lang w:val="en-US"/>
        </w:rPr>
        <w:t xml:space="preserve">, </w:t>
      </w:r>
      <w:r w:rsidR="008B7411" w:rsidRPr="00640A47">
        <w:rPr>
          <w:rFonts w:cstheme="minorHAnsi"/>
          <w:lang w:val="en-US"/>
        </w:rPr>
        <w:t>Margaret M</w:t>
      </w:r>
      <w:r w:rsidR="008B7411">
        <w:rPr>
          <w:rFonts w:cstheme="minorHAnsi"/>
          <w:lang w:val="en-US"/>
        </w:rPr>
        <w:t>,</w:t>
      </w:r>
      <w:r w:rsidR="008B7411" w:rsidRPr="00640A47">
        <w:rPr>
          <w:rFonts w:cstheme="minorHAnsi"/>
          <w:lang w:val="en-US"/>
        </w:rPr>
        <w:t xml:space="preserve"> </w:t>
      </w:r>
      <w:r w:rsidRPr="00640A47">
        <w:rPr>
          <w:rFonts w:cstheme="minorHAnsi"/>
          <w:lang w:val="en-US"/>
        </w:rPr>
        <w:t xml:space="preserve">“Stepfamilies in the Law of Intestate Succession and Wills”, </w:t>
      </w:r>
      <w:r w:rsidRPr="00640A47">
        <w:rPr>
          <w:rFonts w:cstheme="minorHAnsi"/>
          <w:i/>
          <w:lang w:val="en-US"/>
        </w:rPr>
        <w:t xml:space="preserve">University of California at Davis Law Review, </w:t>
      </w:r>
      <w:r w:rsidRPr="00640A47">
        <w:rPr>
          <w:rFonts w:cstheme="minorHAnsi"/>
          <w:lang w:val="en-US"/>
        </w:rPr>
        <w:t>1989, p. 917 ss.</w:t>
      </w:r>
    </w:p>
  </w:footnote>
  <w:footnote w:id="29">
    <w:p w:rsidR="00BB4C87" w:rsidRPr="00640A47" w:rsidRDefault="00BB4C87" w:rsidP="00A13538">
      <w:pPr>
        <w:pStyle w:val="Textonotapie"/>
        <w:jc w:val="both"/>
        <w:rPr>
          <w:rFonts w:cstheme="minorHAnsi"/>
          <w:lang w:val="en-US"/>
        </w:rPr>
      </w:pPr>
      <w:r w:rsidRPr="00640A47">
        <w:rPr>
          <w:rStyle w:val="Refdenotaalpie"/>
          <w:rFonts w:cstheme="minorHAnsi"/>
        </w:rPr>
        <w:footnoteRef/>
      </w:r>
      <w:r w:rsidRPr="00640A47">
        <w:rPr>
          <w:rFonts w:cstheme="minorHAnsi"/>
          <w:lang w:val="en-US"/>
        </w:rPr>
        <w:t xml:space="preserve"> </w:t>
      </w:r>
      <w:r w:rsidRPr="00640A47">
        <w:rPr>
          <w:rFonts w:cstheme="minorHAnsi"/>
          <w:smallCaps/>
          <w:lang w:val="en-US"/>
        </w:rPr>
        <w:t>Hanson</w:t>
      </w:r>
      <w:r w:rsidRPr="00640A47">
        <w:rPr>
          <w:rFonts w:cstheme="minorHAnsi"/>
          <w:lang w:val="en-US"/>
        </w:rPr>
        <w:t xml:space="preserve">, </w:t>
      </w:r>
      <w:r w:rsidR="008B7411" w:rsidRPr="00640A47">
        <w:rPr>
          <w:rFonts w:cstheme="minorHAnsi"/>
          <w:lang w:val="en-US"/>
        </w:rPr>
        <w:t>Thomas M</w:t>
      </w:r>
      <w:r w:rsidR="008B7411">
        <w:rPr>
          <w:rFonts w:cstheme="minorHAnsi"/>
          <w:lang w:val="en-US"/>
        </w:rPr>
        <w:t>,</w:t>
      </w:r>
      <w:r w:rsidR="008B7411" w:rsidRPr="00640A47">
        <w:rPr>
          <w:rFonts w:cstheme="minorHAnsi"/>
          <w:lang w:val="en-US"/>
        </w:rPr>
        <w:t xml:space="preserve"> </w:t>
      </w:r>
      <w:r w:rsidRPr="00640A47">
        <w:rPr>
          <w:rFonts w:cstheme="minorHAnsi"/>
          <w:lang w:val="en-US"/>
        </w:rPr>
        <w:t>“Intestate Succession for Stepchildren: California Leads the Way, but Has It Gone Far Enough?</w:t>
      </w:r>
      <w:proofErr w:type="gramStart"/>
      <w:r w:rsidRPr="00640A47">
        <w:rPr>
          <w:rFonts w:cstheme="minorHAnsi"/>
          <w:lang w:val="en-US"/>
        </w:rPr>
        <w:t>”,</w:t>
      </w:r>
      <w:proofErr w:type="gramEnd"/>
      <w:r w:rsidRPr="00640A47">
        <w:rPr>
          <w:rFonts w:cstheme="minorHAnsi"/>
          <w:lang w:val="en-US"/>
        </w:rPr>
        <w:t xml:space="preserve"> </w:t>
      </w:r>
      <w:r w:rsidRPr="00640A47">
        <w:rPr>
          <w:rFonts w:cstheme="minorHAnsi"/>
          <w:i/>
          <w:lang w:val="en-US"/>
        </w:rPr>
        <w:t xml:space="preserve">Hastings Law Journal, </w:t>
      </w:r>
      <w:r w:rsidRPr="00640A47">
        <w:rPr>
          <w:rFonts w:cstheme="minorHAnsi"/>
          <w:lang w:val="en-US"/>
        </w:rPr>
        <w:t>1995, p. 257 ss.</w:t>
      </w:r>
    </w:p>
  </w:footnote>
  <w:footnote w:id="30">
    <w:p w:rsidR="00BB4C87" w:rsidRPr="00640A47" w:rsidRDefault="00BB4C87" w:rsidP="006475ED">
      <w:pPr>
        <w:pStyle w:val="Textonotapie"/>
        <w:jc w:val="both"/>
        <w:rPr>
          <w:rFonts w:cstheme="minorHAnsi"/>
          <w:lang w:val="en-US"/>
        </w:rPr>
      </w:pPr>
      <w:r w:rsidRPr="00640A47">
        <w:rPr>
          <w:rStyle w:val="Refdenotaalpie"/>
          <w:rFonts w:cstheme="minorHAnsi"/>
        </w:rPr>
        <w:footnoteRef/>
      </w:r>
      <w:r w:rsidRPr="00640A47">
        <w:rPr>
          <w:rFonts w:cstheme="minorHAnsi"/>
          <w:lang w:val="en-US"/>
        </w:rPr>
        <w:t xml:space="preserve"> </w:t>
      </w:r>
      <w:proofErr w:type="spellStart"/>
      <w:r w:rsidRPr="00640A47">
        <w:rPr>
          <w:rFonts w:cstheme="minorHAnsi"/>
          <w:smallCaps/>
          <w:lang w:val="en-US"/>
        </w:rPr>
        <w:t>Feigenbaum</w:t>
      </w:r>
      <w:proofErr w:type="spellEnd"/>
      <w:r w:rsidRPr="00640A47">
        <w:rPr>
          <w:rFonts w:cstheme="minorHAnsi"/>
          <w:lang w:val="en-US"/>
        </w:rPr>
        <w:t>,</w:t>
      </w:r>
      <w:r w:rsidR="008B7411" w:rsidRPr="008B7411">
        <w:rPr>
          <w:rFonts w:cstheme="minorHAnsi"/>
          <w:lang w:val="en-US"/>
        </w:rPr>
        <w:t xml:space="preserve"> </w:t>
      </w:r>
      <w:r w:rsidR="008B7411" w:rsidRPr="00640A47">
        <w:rPr>
          <w:rFonts w:cstheme="minorHAnsi"/>
          <w:lang w:val="en-US"/>
        </w:rPr>
        <w:t>Kim A</w:t>
      </w:r>
      <w:r w:rsidR="008B7411">
        <w:rPr>
          <w:rFonts w:cstheme="minorHAnsi"/>
          <w:lang w:val="en-US"/>
        </w:rPr>
        <w:t>,</w:t>
      </w:r>
      <w:r w:rsidRPr="00640A47">
        <w:rPr>
          <w:rFonts w:cstheme="minorHAnsi"/>
          <w:lang w:val="en-US"/>
        </w:rPr>
        <w:t xml:space="preserve"> “The Changing Family Structure: Challenging Stepchildren's Lack of Inheritance Rights”, </w:t>
      </w:r>
      <w:r w:rsidRPr="00640A47">
        <w:rPr>
          <w:rFonts w:cstheme="minorHAnsi"/>
          <w:i/>
          <w:lang w:val="en-US"/>
        </w:rPr>
        <w:t xml:space="preserve">Brooklyn Law Review, </w:t>
      </w:r>
      <w:r w:rsidRPr="00640A47">
        <w:rPr>
          <w:rFonts w:cstheme="minorHAnsi"/>
          <w:lang w:val="en-US"/>
        </w:rPr>
        <w:t>2000, p. 167 ss.</w:t>
      </w:r>
    </w:p>
  </w:footnote>
  <w:footnote w:id="31">
    <w:p w:rsidR="00BB4C87" w:rsidRPr="00640A47" w:rsidRDefault="00BB4C87" w:rsidP="00636D81">
      <w:pPr>
        <w:pStyle w:val="Textonotapie"/>
        <w:jc w:val="both"/>
        <w:rPr>
          <w:rFonts w:cstheme="minorHAnsi"/>
          <w:lang w:val="en-US"/>
        </w:rPr>
      </w:pPr>
      <w:r w:rsidRPr="00640A47">
        <w:rPr>
          <w:rStyle w:val="Refdenotaalpie"/>
          <w:rFonts w:cstheme="minorHAnsi"/>
        </w:rPr>
        <w:footnoteRef/>
      </w:r>
      <w:r w:rsidRPr="00640A47">
        <w:rPr>
          <w:rFonts w:cstheme="minorHAnsi"/>
          <w:lang w:val="en-US"/>
        </w:rPr>
        <w:t xml:space="preserve"> </w:t>
      </w:r>
      <w:r w:rsidRPr="00640A47">
        <w:rPr>
          <w:rFonts w:cstheme="minorHAnsi"/>
          <w:smallCaps/>
          <w:lang w:val="en-US"/>
        </w:rPr>
        <w:t>Cremer</w:t>
      </w:r>
      <w:r w:rsidRPr="00640A47">
        <w:rPr>
          <w:rFonts w:cstheme="minorHAnsi"/>
          <w:lang w:val="en-US"/>
        </w:rPr>
        <w:t>,</w:t>
      </w:r>
      <w:r w:rsidR="008B7411" w:rsidRPr="008B7411">
        <w:rPr>
          <w:rFonts w:cstheme="minorHAnsi"/>
          <w:lang w:val="en-US"/>
        </w:rPr>
        <w:t xml:space="preserve"> </w:t>
      </w:r>
      <w:proofErr w:type="spellStart"/>
      <w:r w:rsidR="008B7411" w:rsidRPr="00640A47">
        <w:rPr>
          <w:rFonts w:cstheme="minorHAnsi"/>
          <w:lang w:val="en-US"/>
        </w:rPr>
        <w:t>Terin</w:t>
      </w:r>
      <w:proofErr w:type="spellEnd"/>
      <w:r w:rsidR="008B7411" w:rsidRPr="00640A47">
        <w:rPr>
          <w:rFonts w:cstheme="minorHAnsi"/>
          <w:lang w:val="en-US"/>
        </w:rPr>
        <w:t xml:space="preserve"> </w:t>
      </w:r>
      <w:proofErr w:type="spellStart"/>
      <w:r w:rsidR="008B7411" w:rsidRPr="00640A47">
        <w:rPr>
          <w:rFonts w:cstheme="minorHAnsi"/>
          <w:lang w:val="en-US"/>
        </w:rPr>
        <w:t>Barbas</w:t>
      </w:r>
      <w:proofErr w:type="spellEnd"/>
      <w:r w:rsidR="008B7411">
        <w:rPr>
          <w:rFonts w:cstheme="minorHAnsi"/>
          <w:lang w:val="en-US"/>
        </w:rPr>
        <w:t>,</w:t>
      </w:r>
      <w:r w:rsidRPr="00640A47">
        <w:rPr>
          <w:rFonts w:cstheme="minorHAnsi"/>
          <w:lang w:val="en-US"/>
        </w:rPr>
        <w:t xml:space="preserve"> “Reforming Intestate Inheritance for</w:t>
      </w:r>
      <w:r w:rsidR="00907757" w:rsidRPr="00640A47">
        <w:rPr>
          <w:rFonts w:cstheme="minorHAnsi"/>
          <w:lang w:val="en-US"/>
        </w:rPr>
        <w:t xml:space="preserve"> Stepchildren </w:t>
      </w:r>
      <w:proofErr w:type="gramStart"/>
      <w:r w:rsidR="00907757" w:rsidRPr="00640A47">
        <w:rPr>
          <w:rFonts w:cstheme="minorHAnsi"/>
          <w:lang w:val="en-US"/>
        </w:rPr>
        <w:t>And</w:t>
      </w:r>
      <w:proofErr w:type="gramEnd"/>
      <w:r w:rsidR="00907757" w:rsidRPr="00640A47">
        <w:rPr>
          <w:rFonts w:cstheme="minorHAnsi"/>
          <w:lang w:val="en-US"/>
        </w:rPr>
        <w:t xml:space="preserve"> Stepparents”,</w:t>
      </w:r>
      <w:r w:rsidRPr="00640A47">
        <w:rPr>
          <w:rFonts w:cstheme="minorHAnsi"/>
          <w:lang w:val="en-US"/>
        </w:rPr>
        <w:t xml:space="preserve"> </w:t>
      </w:r>
      <w:r w:rsidRPr="00640A47">
        <w:rPr>
          <w:rFonts w:cstheme="minorHAnsi"/>
          <w:i/>
          <w:lang w:val="en-US"/>
        </w:rPr>
        <w:t>Cardozo Journal of Law &amp; Gender</w:t>
      </w:r>
      <w:r w:rsidRPr="00640A47">
        <w:rPr>
          <w:rFonts w:cstheme="minorHAnsi"/>
          <w:lang w:val="en-US"/>
        </w:rPr>
        <w:t>, 2011, p. 89 ss.</w:t>
      </w:r>
    </w:p>
  </w:footnote>
  <w:footnote w:id="32">
    <w:p w:rsidR="00BB4C87" w:rsidRPr="00640A47" w:rsidRDefault="00BB4C87" w:rsidP="002D58B4">
      <w:pPr>
        <w:pStyle w:val="Textonotapie"/>
        <w:jc w:val="both"/>
        <w:rPr>
          <w:rFonts w:cstheme="minorHAnsi"/>
          <w:lang w:val="en-US"/>
        </w:rPr>
      </w:pPr>
      <w:r w:rsidRPr="00640A47">
        <w:rPr>
          <w:rStyle w:val="Refdenotaalpie"/>
          <w:rFonts w:cstheme="minorHAnsi"/>
        </w:rPr>
        <w:footnoteRef/>
      </w:r>
      <w:r w:rsidRPr="00640A47">
        <w:rPr>
          <w:rFonts w:cstheme="minorHAnsi"/>
          <w:lang w:val="en-US"/>
        </w:rPr>
        <w:t xml:space="preserve"> </w:t>
      </w:r>
      <w:r w:rsidRPr="00640A47">
        <w:rPr>
          <w:rFonts w:cstheme="minorHAnsi"/>
          <w:smallCaps/>
          <w:lang w:val="en-US"/>
        </w:rPr>
        <w:t>Engel</w:t>
      </w:r>
      <w:r w:rsidRPr="00640A47">
        <w:rPr>
          <w:rFonts w:cstheme="minorHAnsi"/>
          <w:lang w:val="en-US"/>
        </w:rPr>
        <w:t xml:space="preserve">, </w:t>
      </w:r>
      <w:proofErr w:type="spellStart"/>
      <w:r w:rsidR="00511B10" w:rsidRPr="00640A47">
        <w:rPr>
          <w:rFonts w:cstheme="minorHAnsi"/>
          <w:lang w:val="en-US"/>
        </w:rPr>
        <w:t>Margorie</w:t>
      </w:r>
      <w:proofErr w:type="spellEnd"/>
      <w:r w:rsidR="00511B10">
        <w:rPr>
          <w:rFonts w:cstheme="minorHAnsi"/>
          <w:lang w:val="en-US"/>
        </w:rPr>
        <w:t>,</w:t>
      </w:r>
      <w:r w:rsidR="00511B10" w:rsidRPr="00640A47">
        <w:rPr>
          <w:rFonts w:cstheme="minorHAnsi"/>
          <w:lang w:val="en-US"/>
        </w:rPr>
        <w:t xml:space="preserve"> </w:t>
      </w:r>
      <w:r w:rsidRPr="00640A47">
        <w:rPr>
          <w:rFonts w:cstheme="minorHAnsi"/>
          <w:lang w:val="en-US"/>
        </w:rPr>
        <w:t xml:space="preserve">“Pockets of </w:t>
      </w:r>
      <w:r w:rsidR="00F11755" w:rsidRPr="00640A47">
        <w:rPr>
          <w:rFonts w:cstheme="minorHAnsi"/>
          <w:lang w:val="en-US"/>
        </w:rPr>
        <w:t xml:space="preserve">Poverty: The Second Wives Club - </w:t>
      </w:r>
      <w:r w:rsidRPr="00640A47">
        <w:rPr>
          <w:rFonts w:cstheme="minorHAnsi"/>
          <w:lang w:val="en-US"/>
        </w:rPr>
        <w:t xml:space="preserve">Examining the Financial (In)Security of Women in Remarriages”, </w:t>
      </w:r>
      <w:r w:rsidRPr="00640A47">
        <w:rPr>
          <w:rFonts w:cstheme="minorHAnsi"/>
          <w:i/>
          <w:lang w:val="en-US"/>
        </w:rPr>
        <w:t>William &amp; Mary Journal of Women and the Law</w:t>
      </w:r>
      <w:r w:rsidRPr="00640A47">
        <w:rPr>
          <w:rFonts w:cstheme="minorHAnsi"/>
          <w:lang w:val="en-US"/>
        </w:rPr>
        <w:t xml:space="preserve">, pp. 355-359; </w:t>
      </w:r>
      <w:r w:rsidRPr="00640A47">
        <w:rPr>
          <w:rFonts w:cstheme="minorHAnsi"/>
          <w:smallCaps/>
          <w:lang w:val="en-US"/>
        </w:rPr>
        <w:t>Higdon</w:t>
      </w:r>
      <w:r w:rsidRPr="00640A47">
        <w:rPr>
          <w:rFonts w:cstheme="minorHAnsi"/>
          <w:lang w:val="en-US"/>
        </w:rPr>
        <w:t xml:space="preserve">, </w:t>
      </w:r>
      <w:r w:rsidR="00511B10" w:rsidRPr="00640A47">
        <w:rPr>
          <w:rFonts w:cstheme="minorHAnsi"/>
          <w:lang w:val="en-US"/>
        </w:rPr>
        <w:t>Michael J</w:t>
      </w:r>
      <w:r w:rsidR="00511B10">
        <w:rPr>
          <w:rFonts w:cstheme="minorHAnsi"/>
          <w:lang w:val="en-US"/>
        </w:rPr>
        <w:t>,</w:t>
      </w:r>
      <w:r w:rsidR="00511B10" w:rsidRPr="00640A47">
        <w:rPr>
          <w:rFonts w:cstheme="minorHAnsi"/>
          <w:lang w:val="en-US"/>
        </w:rPr>
        <w:t xml:space="preserve"> </w:t>
      </w:r>
      <w:r w:rsidRPr="00640A47">
        <w:rPr>
          <w:rFonts w:cstheme="minorHAnsi"/>
          <w:lang w:val="en-US"/>
        </w:rPr>
        <w:t xml:space="preserve">“When Informal Adoption Meets Intestate Succession: The Cultural Myopia of the Equitable Adoption Doctrine”, </w:t>
      </w:r>
      <w:r w:rsidRPr="00640A47">
        <w:rPr>
          <w:rFonts w:cstheme="minorHAnsi"/>
          <w:i/>
          <w:lang w:val="en-US"/>
        </w:rPr>
        <w:t xml:space="preserve">Wake Forest Law Review, </w:t>
      </w:r>
      <w:r w:rsidRPr="00640A47">
        <w:rPr>
          <w:rFonts w:cstheme="minorHAnsi"/>
          <w:lang w:val="en-US"/>
        </w:rPr>
        <w:t xml:space="preserve">2008, p. 223 </w:t>
      </w:r>
      <w:proofErr w:type="spellStart"/>
      <w:r w:rsidRPr="00640A47">
        <w:rPr>
          <w:rFonts w:cstheme="minorHAnsi"/>
          <w:lang w:val="en-US"/>
        </w:rPr>
        <w:t>ss</w:t>
      </w:r>
      <w:proofErr w:type="spellEnd"/>
      <w:r w:rsidRPr="00640A47">
        <w:rPr>
          <w:rFonts w:cstheme="minorHAnsi"/>
          <w:lang w:val="en-US"/>
        </w:rPr>
        <w:t xml:space="preserve">; </w:t>
      </w:r>
      <w:r w:rsidRPr="00640A47">
        <w:rPr>
          <w:rFonts w:cstheme="minorHAnsi"/>
          <w:smallCaps/>
          <w:lang w:val="en-US"/>
        </w:rPr>
        <w:t>Johnson</w:t>
      </w:r>
      <w:r w:rsidRPr="00640A47">
        <w:rPr>
          <w:rFonts w:cstheme="minorHAnsi"/>
          <w:lang w:val="en-US"/>
        </w:rPr>
        <w:t xml:space="preserve">, </w:t>
      </w:r>
      <w:r w:rsidR="00511B10" w:rsidRPr="00640A47">
        <w:rPr>
          <w:rFonts w:cstheme="minorHAnsi"/>
          <w:lang w:val="en-US"/>
        </w:rPr>
        <w:t>Irene D</w:t>
      </w:r>
      <w:r w:rsidR="00511B10">
        <w:rPr>
          <w:rFonts w:cstheme="minorHAnsi"/>
          <w:lang w:val="en-US"/>
        </w:rPr>
        <w:t>,</w:t>
      </w:r>
      <w:r w:rsidR="00511B10" w:rsidRPr="00640A47">
        <w:rPr>
          <w:rFonts w:cstheme="minorHAnsi"/>
          <w:lang w:val="en-US"/>
        </w:rPr>
        <w:t xml:space="preserve"> </w:t>
      </w:r>
      <w:r w:rsidRPr="00640A47">
        <w:rPr>
          <w:rFonts w:cstheme="minorHAnsi"/>
          <w:lang w:val="en-US"/>
        </w:rPr>
        <w:t xml:space="preserve">“Succession in Nontraditional Family Arrangements: Taking the "Adoption" (and the Inequity) Out of the Doctrine of "Equitable Adoption”, </w:t>
      </w:r>
      <w:r w:rsidRPr="00640A47">
        <w:rPr>
          <w:rFonts w:cstheme="minorHAnsi"/>
          <w:i/>
          <w:lang w:val="en-US"/>
        </w:rPr>
        <w:t xml:space="preserve">Saint Louis University Law Journal, </w:t>
      </w:r>
      <w:r w:rsidRPr="00640A47">
        <w:rPr>
          <w:rFonts w:cstheme="minorHAnsi"/>
          <w:lang w:val="en-US"/>
        </w:rPr>
        <w:t xml:space="preserve">2009, p. 271 </w:t>
      </w:r>
      <w:proofErr w:type="spellStart"/>
      <w:r w:rsidRPr="00640A47">
        <w:rPr>
          <w:rFonts w:cstheme="minorHAnsi"/>
          <w:lang w:val="en-US"/>
        </w:rPr>
        <w:t>ss</w:t>
      </w:r>
      <w:proofErr w:type="spellEnd"/>
      <w:r w:rsidRPr="00640A47">
        <w:rPr>
          <w:rFonts w:cstheme="minorHAnsi"/>
          <w:lang w:val="en-US"/>
        </w:rPr>
        <w:t xml:space="preserve">; </w:t>
      </w:r>
      <w:r w:rsidRPr="00640A47">
        <w:rPr>
          <w:rFonts w:cstheme="minorHAnsi"/>
          <w:smallCaps/>
          <w:lang w:val="en-US"/>
        </w:rPr>
        <w:t>Cremer</w:t>
      </w:r>
      <w:r w:rsidRPr="00640A47">
        <w:rPr>
          <w:rFonts w:cstheme="minorHAnsi"/>
          <w:lang w:val="en-US"/>
        </w:rPr>
        <w:t xml:space="preserve">, “Reforming”, </w:t>
      </w:r>
      <w:r w:rsidR="00511B10">
        <w:rPr>
          <w:rFonts w:cstheme="minorHAnsi"/>
          <w:lang w:val="en-US"/>
        </w:rPr>
        <w:t xml:space="preserve">op. cit., </w:t>
      </w:r>
      <w:r w:rsidRPr="00640A47">
        <w:rPr>
          <w:rFonts w:cstheme="minorHAnsi"/>
          <w:lang w:val="en-US"/>
        </w:rPr>
        <w:t xml:space="preserve">p. 96; </w:t>
      </w:r>
      <w:proofErr w:type="spellStart"/>
      <w:r w:rsidRPr="00640A47">
        <w:rPr>
          <w:rFonts w:cstheme="minorHAnsi"/>
          <w:smallCaps/>
          <w:lang w:val="en-US"/>
        </w:rPr>
        <w:t>Weisser</w:t>
      </w:r>
      <w:proofErr w:type="spellEnd"/>
      <w:r w:rsidRPr="00640A47">
        <w:rPr>
          <w:rFonts w:cstheme="minorHAnsi"/>
          <w:lang w:val="en-US"/>
        </w:rPr>
        <w:t>,</w:t>
      </w:r>
      <w:r w:rsidR="00511B10" w:rsidRPr="00511B10">
        <w:rPr>
          <w:rFonts w:cstheme="minorHAnsi"/>
          <w:lang w:val="en-US"/>
        </w:rPr>
        <w:t xml:space="preserve"> </w:t>
      </w:r>
      <w:r w:rsidR="00511B10" w:rsidRPr="00640A47">
        <w:rPr>
          <w:rFonts w:cstheme="minorHAnsi"/>
          <w:lang w:val="en-US"/>
        </w:rPr>
        <w:t>Jamie P</w:t>
      </w:r>
      <w:r w:rsidR="00511B10">
        <w:rPr>
          <w:rFonts w:cstheme="minorHAnsi"/>
          <w:lang w:val="en-US"/>
        </w:rPr>
        <w:t>,</w:t>
      </w:r>
      <w:r w:rsidRPr="00640A47">
        <w:rPr>
          <w:rFonts w:cstheme="minorHAnsi"/>
          <w:lang w:val="en-US"/>
        </w:rPr>
        <w:t xml:space="preserve"> “Virtual Adoption: The Inequities of the Equitable Doctrine”, </w:t>
      </w:r>
      <w:r w:rsidRPr="00640A47">
        <w:rPr>
          <w:rFonts w:cstheme="minorHAnsi"/>
          <w:i/>
          <w:lang w:val="en-US"/>
        </w:rPr>
        <w:t xml:space="preserve">Nova Law Review, </w:t>
      </w:r>
      <w:r w:rsidRPr="00640A47">
        <w:rPr>
          <w:rFonts w:cstheme="minorHAnsi"/>
          <w:lang w:val="en-US"/>
        </w:rPr>
        <w:t xml:space="preserve">2011, p. 549 </w:t>
      </w:r>
      <w:proofErr w:type="spellStart"/>
      <w:r w:rsidRPr="00640A47">
        <w:rPr>
          <w:rFonts w:cstheme="minorHAnsi"/>
          <w:lang w:val="en-US"/>
        </w:rPr>
        <w:t>ss</w:t>
      </w:r>
      <w:proofErr w:type="spellEnd"/>
    </w:p>
  </w:footnote>
  <w:footnote w:id="33">
    <w:p w:rsidR="00192541" w:rsidRPr="00640A47" w:rsidRDefault="00192541" w:rsidP="00192541">
      <w:pPr>
        <w:pStyle w:val="Textonotapie"/>
        <w:jc w:val="both"/>
        <w:rPr>
          <w:rFonts w:cstheme="minorHAnsi"/>
        </w:rPr>
      </w:pPr>
      <w:r w:rsidRPr="00640A47">
        <w:rPr>
          <w:rStyle w:val="Refdenotaalpie"/>
          <w:rFonts w:cstheme="minorHAnsi"/>
        </w:rPr>
        <w:footnoteRef/>
      </w:r>
      <w:r w:rsidRPr="00640A47">
        <w:rPr>
          <w:rFonts w:cstheme="minorHAnsi"/>
        </w:rPr>
        <w:t xml:space="preserve"> No puede descartarse que, como indica </w:t>
      </w:r>
      <w:proofErr w:type="spellStart"/>
      <w:r w:rsidRPr="00640A47">
        <w:rPr>
          <w:rFonts w:cstheme="minorHAnsi"/>
          <w:smallCaps/>
        </w:rPr>
        <w:t>Malia</w:t>
      </w:r>
      <w:proofErr w:type="spellEnd"/>
      <w:r w:rsidRPr="00640A47">
        <w:rPr>
          <w:rFonts w:cstheme="minorHAnsi"/>
        </w:rPr>
        <w:t xml:space="preserve">, </w:t>
      </w:r>
      <w:r w:rsidR="00511B10" w:rsidRPr="00640A47">
        <w:rPr>
          <w:rFonts w:cstheme="minorHAnsi"/>
        </w:rPr>
        <w:t>Sarah E C</w:t>
      </w:r>
      <w:r w:rsidR="00511B10">
        <w:rPr>
          <w:rFonts w:cstheme="minorHAnsi"/>
        </w:rPr>
        <w:t>,</w:t>
      </w:r>
      <w:r w:rsidR="00511B10" w:rsidRPr="00640A47">
        <w:rPr>
          <w:rFonts w:cstheme="minorHAnsi"/>
        </w:rPr>
        <w:t xml:space="preserve"> </w:t>
      </w:r>
      <w:r w:rsidRPr="00640A47">
        <w:rPr>
          <w:rFonts w:cstheme="minorHAnsi"/>
        </w:rPr>
        <w:t>“</w:t>
      </w:r>
      <w:proofErr w:type="spellStart"/>
      <w:r w:rsidRPr="00640A47">
        <w:rPr>
          <w:rFonts w:cstheme="minorHAnsi"/>
        </w:rPr>
        <w:t>Balancing</w:t>
      </w:r>
      <w:proofErr w:type="spellEnd"/>
      <w:r w:rsidRPr="00640A47">
        <w:rPr>
          <w:rFonts w:cstheme="minorHAnsi"/>
        </w:rPr>
        <w:t xml:space="preserve"> </w:t>
      </w:r>
      <w:proofErr w:type="spellStart"/>
      <w:r w:rsidRPr="00640A47">
        <w:rPr>
          <w:rFonts w:cstheme="minorHAnsi"/>
        </w:rPr>
        <w:t>Family</w:t>
      </w:r>
      <w:proofErr w:type="spellEnd"/>
      <w:r w:rsidRPr="00640A47">
        <w:rPr>
          <w:rFonts w:cstheme="minorHAnsi"/>
        </w:rPr>
        <w:t xml:space="preserve"> </w:t>
      </w:r>
      <w:proofErr w:type="spellStart"/>
      <w:r w:rsidRPr="00640A47">
        <w:rPr>
          <w:rFonts w:cstheme="minorHAnsi"/>
        </w:rPr>
        <w:t>Members</w:t>
      </w:r>
      <w:proofErr w:type="spellEnd"/>
      <w:r w:rsidRPr="00640A47">
        <w:rPr>
          <w:rFonts w:cstheme="minorHAnsi"/>
        </w:rPr>
        <w:t xml:space="preserve">' </w:t>
      </w:r>
      <w:proofErr w:type="spellStart"/>
      <w:r w:rsidRPr="00640A47">
        <w:rPr>
          <w:rFonts w:cstheme="minorHAnsi"/>
        </w:rPr>
        <w:t>Interests</w:t>
      </w:r>
      <w:proofErr w:type="spellEnd"/>
      <w:r w:rsidRPr="00640A47">
        <w:rPr>
          <w:rFonts w:cstheme="minorHAnsi"/>
        </w:rPr>
        <w:t xml:space="preserve"> </w:t>
      </w:r>
      <w:proofErr w:type="spellStart"/>
      <w:r w:rsidRPr="00640A47">
        <w:rPr>
          <w:rFonts w:cstheme="minorHAnsi"/>
        </w:rPr>
        <w:t>Regarding</w:t>
      </w:r>
      <w:proofErr w:type="spellEnd"/>
      <w:r w:rsidRPr="00640A47">
        <w:rPr>
          <w:rFonts w:cstheme="minorHAnsi"/>
        </w:rPr>
        <w:t xml:space="preserve"> </w:t>
      </w:r>
      <w:proofErr w:type="spellStart"/>
      <w:r w:rsidRPr="00640A47">
        <w:rPr>
          <w:rFonts w:cstheme="minorHAnsi"/>
        </w:rPr>
        <w:t>Stepparent</w:t>
      </w:r>
      <w:proofErr w:type="spellEnd"/>
      <w:r w:rsidRPr="00640A47">
        <w:rPr>
          <w:rFonts w:cstheme="minorHAnsi"/>
        </w:rPr>
        <w:t xml:space="preserve"> </w:t>
      </w:r>
      <w:proofErr w:type="spellStart"/>
      <w:r w:rsidRPr="00640A47">
        <w:rPr>
          <w:rFonts w:cstheme="minorHAnsi"/>
        </w:rPr>
        <w:t>Rights</w:t>
      </w:r>
      <w:proofErr w:type="spellEnd"/>
      <w:r w:rsidRPr="00640A47">
        <w:rPr>
          <w:rFonts w:cstheme="minorHAnsi"/>
        </w:rPr>
        <w:t xml:space="preserve"> and </w:t>
      </w:r>
      <w:proofErr w:type="spellStart"/>
      <w:r w:rsidRPr="00640A47">
        <w:rPr>
          <w:rFonts w:cstheme="minorHAnsi"/>
        </w:rPr>
        <w:t>Obligations</w:t>
      </w:r>
      <w:proofErr w:type="spellEnd"/>
      <w:r w:rsidRPr="00640A47">
        <w:rPr>
          <w:rFonts w:cstheme="minorHAnsi"/>
        </w:rPr>
        <w:t xml:space="preserve">: A Social </w:t>
      </w:r>
      <w:proofErr w:type="spellStart"/>
      <w:r w:rsidRPr="00640A47">
        <w:rPr>
          <w:rFonts w:cstheme="minorHAnsi"/>
        </w:rPr>
        <w:t>Policy</w:t>
      </w:r>
      <w:proofErr w:type="spellEnd"/>
      <w:r w:rsidRPr="00640A47">
        <w:rPr>
          <w:rFonts w:cstheme="minorHAnsi"/>
        </w:rPr>
        <w:t xml:space="preserve"> </w:t>
      </w:r>
      <w:proofErr w:type="spellStart"/>
      <w:r w:rsidRPr="00640A47">
        <w:rPr>
          <w:rFonts w:cstheme="minorHAnsi"/>
        </w:rPr>
        <w:t>Challenge</w:t>
      </w:r>
      <w:proofErr w:type="spellEnd"/>
      <w:r w:rsidRPr="00640A47">
        <w:rPr>
          <w:rFonts w:cstheme="minorHAnsi"/>
        </w:rPr>
        <w:t xml:space="preserve">”, </w:t>
      </w:r>
      <w:proofErr w:type="spellStart"/>
      <w:r w:rsidRPr="00640A47">
        <w:rPr>
          <w:rFonts w:cstheme="minorHAnsi"/>
          <w:i/>
        </w:rPr>
        <w:t>Family</w:t>
      </w:r>
      <w:proofErr w:type="spellEnd"/>
      <w:r w:rsidRPr="00640A47">
        <w:rPr>
          <w:rFonts w:cstheme="minorHAnsi"/>
          <w:i/>
        </w:rPr>
        <w:t xml:space="preserve"> </w:t>
      </w:r>
      <w:proofErr w:type="spellStart"/>
      <w:r w:rsidRPr="00640A47">
        <w:rPr>
          <w:rFonts w:cstheme="minorHAnsi"/>
          <w:i/>
        </w:rPr>
        <w:t>Relations</w:t>
      </w:r>
      <w:proofErr w:type="spellEnd"/>
      <w:r w:rsidRPr="00640A47">
        <w:rPr>
          <w:rFonts w:cstheme="minorHAnsi"/>
          <w:i/>
        </w:rPr>
        <w:t xml:space="preserve">, </w:t>
      </w:r>
      <w:r w:rsidRPr="00640A47">
        <w:rPr>
          <w:rFonts w:cstheme="minorHAnsi"/>
        </w:rPr>
        <w:t>2005, vol. 54, No 2, p. 308, que una regulación legal sirva para normalizar el rol dentro de la familia de padrastros y madrastras y de hijastros e hijastras y que, por decantación, acaben por institucionalizarse unas pocas tipologías de familias reconstituidas.</w:t>
      </w:r>
    </w:p>
  </w:footnote>
  <w:footnote w:id="34">
    <w:p w:rsidR="00165C7C" w:rsidRPr="00640A47" w:rsidRDefault="00165C7C" w:rsidP="00165C7C">
      <w:pPr>
        <w:pStyle w:val="Textonotapie"/>
        <w:jc w:val="both"/>
        <w:rPr>
          <w:rFonts w:cstheme="minorHAnsi"/>
        </w:rPr>
      </w:pPr>
      <w:r w:rsidRPr="00640A47">
        <w:rPr>
          <w:rStyle w:val="Refdenotaalpie"/>
          <w:rFonts w:cstheme="minorHAnsi"/>
        </w:rPr>
        <w:footnoteRef/>
      </w:r>
      <w:r w:rsidRPr="00640A47">
        <w:rPr>
          <w:rFonts w:cstheme="minorHAnsi"/>
        </w:rPr>
        <w:t xml:space="preserve"> Como indica Leonardo </w:t>
      </w:r>
      <w:r w:rsidRPr="00640A47">
        <w:rPr>
          <w:rFonts w:cstheme="minorHAnsi"/>
          <w:smallCaps/>
        </w:rPr>
        <w:t>Pérez Gallardo</w:t>
      </w:r>
      <w:r w:rsidRPr="00640A47">
        <w:rPr>
          <w:rFonts w:cstheme="minorHAnsi"/>
        </w:rPr>
        <w:t>,</w:t>
      </w:r>
      <w:r w:rsidR="00511B10">
        <w:rPr>
          <w:rFonts w:cstheme="minorHAnsi"/>
        </w:rPr>
        <w:t xml:space="preserve"> Leonardo,</w:t>
      </w:r>
      <w:r w:rsidRPr="00640A47">
        <w:rPr>
          <w:rFonts w:cstheme="minorHAnsi"/>
        </w:rPr>
        <w:t xml:space="preserve"> “Familias ensamblada, parentesco por afinidad y sucesión </w:t>
      </w:r>
      <w:r w:rsidRPr="00640A47">
        <w:rPr>
          <w:rFonts w:cstheme="minorHAnsi"/>
          <w:i/>
        </w:rPr>
        <w:t>ab intestato</w:t>
      </w:r>
      <w:r w:rsidRPr="00640A47">
        <w:rPr>
          <w:rFonts w:cstheme="minorHAnsi"/>
        </w:rPr>
        <w:t xml:space="preserve"> </w:t>
      </w:r>
      <w:r w:rsidRPr="00640A47">
        <w:rPr>
          <w:rFonts w:cstheme="minorHAnsi"/>
          <w:i/>
        </w:rPr>
        <w:t>¿Una ecuación lineal?</w:t>
      </w:r>
      <w:r w:rsidRPr="00640A47">
        <w:rPr>
          <w:rFonts w:cstheme="minorHAnsi"/>
        </w:rPr>
        <w:t>”</w:t>
      </w:r>
      <w:r w:rsidR="00511B10">
        <w:rPr>
          <w:rFonts w:cstheme="minorHAnsi"/>
        </w:rPr>
        <w:t xml:space="preserve">, </w:t>
      </w:r>
      <w:r w:rsidRPr="00640A47">
        <w:rPr>
          <w:rFonts w:cstheme="minorHAnsi"/>
          <w:i/>
        </w:rPr>
        <w:t xml:space="preserve">Revista de Derecho Privado, </w:t>
      </w:r>
      <w:r w:rsidRPr="00640A47">
        <w:rPr>
          <w:rFonts w:cstheme="minorHAnsi"/>
        </w:rPr>
        <w:t>2011, p. 75: “el reconocimiento de las familias ensambladas en la sucesión intestada requiere dejar a un lado el principio de la consanguinidad y adoptar un criterio que reconozca los vínculos generados en el marco de la vida familiar moderna”.</w:t>
      </w:r>
    </w:p>
  </w:footnote>
  <w:footnote w:id="35">
    <w:p w:rsidR="00F11755" w:rsidRPr="00640A47" w:rsidRDefault="00F11755">
      <w:pPr>
        <w:pStyle w:val="Textonotapie"/>
        <w:rPr>
          <w:rFonts w:cstheme="minorHAnsi"/>
        </w:rPr>
      </w:pPr>
      <w:r w:rsidRPr="00640A47">
        <w:rPr>
          <w:rStyle w:val="Refdenotaalpie"/>
          <w:rFonts w:cstheme="minorHAnsi"/>
        </w:rPr>
        <w:footnoteRef/>
      </w:r>
      <w:r w:rsidRPr="00640A47">
        <w:rPr>
          <w:rFonts w:cstheme="minorHAnsi"/>
        </w:rPr>
        <w:t xml:space="preserve"> </w:t>
      </w:r>
      <w:r w:rsidRPr="00640A47">
        <w:rPr>
          <w:rFonts w:cstheme="minorHAnsi"/>
          <w:smallCaps/>
        </w:rPr>
        <w:t>Navas Navarro</w:t>
      </w:r>
      <w:r w:rsidRPr="00640A47">
        <w:rPr>
          <w:rFonts w:cstheme="minorHAnsi"/>
        </w:rPr>
        <w:t xml:space="preserve">, “Los derechos del menor”, </w:t>
      </w:r>
      <w:proofErr w:type="spellStart"/>
      <w:r w:rsidR="00511B10">
        <w:rPr>
          <w:rFonts w:cstheme="minorHAnsi"/>
        </w:rPr>
        <w:t>op</w:t>
      </w:r>
      <w:proofErr w:type="spellEnd"/>
      <w:r w:rsidR="00511B10">
        <w:rPr>
          <w:rFonts w:cstheme="minorHAnsi"/>
        </w:rPr>
        <w:t xml:space="preserve">. cit., </w:t>
      </w:r>
      <w:r w:rsidRPr="00640A47">
        <w:rPr>
          <w:rFonts w:cstheme="minorHAnsi"/>
        </w:rPr>
        <w:t>p. 685.</w:t>
      </w:r>
    </w:p>
  </w:footnote>
  <w:footnote w:id="36">
    <w:p w:rsidR="00BB4C87" w:rsidRPr="00640A47" w:rsidRDefault="00BB4C87" w:rsidP="0000557E">
      <w:pPr>
        <w:pStyle w:val="Textonotapie"/>
        <w:jc w:val="both"/>
        <w:rPr>
          <w:rFonts w:cstheme="minorHAnsi"/>
          <w:lang w:val="en-US"/>
        </w:rPr>
      </w:pPr>
      <w:r w:rsidRPr="00640A47">
        <w:rPr>
          <w:rStyle w:val="Refdenotaalpie"/>
          <w:rFonts w:cstheme="minorHAnsi"/>
        </w:rPr>
        <w:footnoteRef/>
      </w:r>
      <w:r w:rsidRPr="00640A47">
        <w:rPr>
          <w:rFonts w:cstheme="minorHAnsi"/>
        </w:rPr>
        <w:t xml:space="preserve"> </w:t>
      </w:r>
      <w:r w:rsidRPr="00640A47">
        <w:rPr>
          <w:rFonts w:cstheme="minorHAnsi"/>
          <w:smallCaps/>
        </w:rPr>
        <w:t xml:space="preserve">Rivas </w:t>
      </w:r>
      <w:proofErr w:type="spellStart"/>
      <w:r w:rsidRPr="00640A47">
        <w:rPr>
          <w:rFonts w:cstheme="minorHAnsi"/>
          <w:smallCaps/>
        </w:rPr>
        <w:t>Rivas</w:t>
      </w:r>
      <w:proofErr w:type="spellEnd"/>
      <w:r w:rsidRPr="00640A47">
        <w:rPr>
          <w:rFonts w:cstheme="minorHAnsi"/>
        </w:rPr>
        <w:t xml:space="preserve">, “El ejercicio de la </w:t>
      </w:r>
      <w:proofErr w:type="spellStart"/>
      <w:r w:rsidRPr="00640A47">
        <w:rPr>
          <w:rFonts w:cstheme="minorHAnsi"/>
        </w:rPr>
        <w:t>parentalidad</w:t>
      </w:r>
      <w:proofErr w:type="spellEnd"/>
      <w:r w:rsidRPr="00640A47">
        <w:rPr>
          <w:rFonts w:cstheme="minorHAnsi"/>
        </w:rPr>
        <w:t xml:space="preserve">”, </w:t>
      </w:r>
      <w:proofErr w:type="spellStart"/>
      <w:r w:rsidR="00511B10">
        <w:rPr>
          <w:rFonts w:cstheme="minorHAnsi"/>
        </w:rPr>
        <w:t>op</w:t>
      </w:r>
      <w:proofErr w:type="spellEnd"/>
      <w:r w:rsidR="00511B10">
        <w:rPr>
          <w:rFonts w:cstheme="minorHAnsi"/>
        </w:rPr>
        <w:t xml:space="preserve">. cit., </w:t>
      </w:r>
      <w:r w:rsidRPr="00640A47">
        <w:rPr>
          <w:rFonts w:cstheme="minorHAnsi"/>
        </w:rPr>
        <w:t>p. 34.</w:t>
      </w:r>
      <w:r w:rsidR="0000557E" w:rsidRPr="00640A47">
        <w:rPr>
          <w:rFonts w:cstheme="minorHAnsi"/>
        </w:rPr>
        <w:t xml:space="preserve"> </w:t>
      </w:r>
      <w:proofErr w:type="spellStart"/>
      <w:r w:rsidR="0000557E" w:rsidRPr="00640A47">
        <w:rPr>
          <w:rFonts w:cstheme="minorHAnsi"/>
          <w:lang w:val="en-US"/>
        </w:rPr>
        <w:t>Sobre</w:t>
      </w:r>
      <w:proofErr w:type="spellEnd"/>
      <w:r w:rsidR="0000557E" w:rsidRPr="00640A47">
        <w:rPr>
          <w:rFonts w:cstheme="minorHAnsi"/>
          <w:lang w:val="en-US"/>
        </w:rPr>
        <w:t xml:space="preserve"> lo </w:t>
      </w:r>
      <w:proofErr w:type="spellStart"/>
      <w:r w:rsidR="0000557E" w:rsidRPr="00640A47">
        <w:rPr>
          <w:rFonts w:cstheme="minorHAnsi"/>
          <w:lang w:val="en-US"/>
        </w:rPr>
        <w:t>variado</w:t>
      </w:r>
      <w:proofErr w:type="spellEnd"/>
      <w:r w:rsidR="0000557E" w:rsidRPr="00640A47">
        <w:rPr>
          <w:rFonts w:cstheme="minorHAnsi"/>
          <w:lang w:val="en-US"/>
        </w:rPr>
        <w:t xml:space="preserve"> </w:t>
      </w:r>
      <w:proofErr w:type="spellStart"/>
      <w:r w:rsidR="0000557E" w:rsidRPr="00640A47">
        <w:rPr>
          <w:rFonts w:cstheme="minorHAnsi"/>
          <w:lang w:val="en-US"/>
        </w:rPr>
        <w:t>también</w:t>
      </w:r>
      <w:proofErr w:type="spellEnd"/>
      <w:r w:rsidR="0000557E" w:rsidRPr="00640A47">
        <w:rPr>
          <w:rFonts w:cstheme="minorHAnsi"/>
          <w:lang w:val="en-US"/>
        </w:rPr>
        <w:t xml:space="preserve"> </w:t>
      </w:r>
      <w:proofErr w:type="spellStart"/>
      <w:r w:rsidR="0000557E" w:rsidRPr="00640A47">
        <w:rPr>
          <w:rFonts w:cstheme="minorHAnsi"/>
          <w:lang w:val="en-US"/>
        </w:rPr>
        <w:t>en</w:t>
      </w:r>
      <w:proofErr w:type="spellEnd"/>
      <w:r w:rsidR="0000557E" w:rsidRPr="00640A47">
        <w:rPr>
          <w:rFonts w:cstheme="minorHAnsi"/>
          <w:lang w:val="en-US"/>
        </w:rPr>
        <w:t xml:space="preserve"> </w:t>
      </w:r>
      <w:proofErr w:type="spellStart"/>
      <w:r w:rsidR="0000557E" w:rsidRPr="00640A47">
        <w:rPr>
          <w:rFonts w:cstheme="minorHAnsi"/>
          <w:lang w:val="en-US"/>
        </w:rPr>
        <w:t>norteamérica</w:t>
      </w:r>
      <w:proofErr w:type="spellEnd"/>
      <w:r w:rsidR="0000557E" w:rsidRPr="00640A47">
        <w:rPr>
          <w:rFonts w:cstheme="minorHAnsi"/>
          <w:lang w:val="en-US"/>
        </w:rPr>
        <w:t xml:space="preserve"> de las </w:t>
      </w:r>
      <w:proofErr w:type="spellStart"/>
      <w:r w:rsidR="0000557E" w:rsidRPr="00640A47">
        <w:rPr>
          <w:rFonts w:cstheme="minorHAnsi"/>
          <w:lang w:val="en-US"/>
        </w:rPr>
        <w:t>familias</w:t>
      </w:r>
      <w:proofErr w:type="spellEnd"/>
      <w:r w:rsidR="0000557E" w:rsidRPr="00640A47">
        <w:rPr>
          <w:rFonts w:cstheme="minorHAnsi"/>
          <w:lang w:val="en-US"/>
        </w:rPr>
        <w:t xml:space="preserve"> </w:t>
      </w:r>
      <w:proofErr w:type="spellStart"/>
      <w:r w:rsidR="0000557E" w:rsidRPr="00640A47">
        <w:rPr>
          <w:rFonts w:cstheme="minorHAnsi"/>
          <w:lang w:val="en-US"/>
        </w:rPr>
        <w:t>reconstituidas</w:t>
      </w:r>
      <w:proofErr w:type="spellEnd"/>
      <w:r w:rsidR="0000557E" w:rsidRPr="00640A47">
        <w:rPr>
          <w:rFonts w:cstheme="minorHAnsi"/>
          <w:lang w:val="en-US"/>
        </w:rPr>
        <w:t xml:space="preserve">, </w:t>
      </w:r>
      <w:proofErr w:type="spellStart"/>
      <w:r w:rsidR="0000557E" w:rsidRPr="00640A47">
        <w:rPr>
          <w:rFonts w:cstheme="minorHAnsi"/>
          <w:smallCaps/>
          <w:lang w:val="en-US"/>
        </w:rPr>
        <w:t>Ganong</w:t>
      </w:r>
      <w:proofErr w:type="spellEnd"/>
      <w:r w:rsidR="0000557E" w:rsidRPr="00640A47">
        <w:rPr>
          <w:rFonts w:cstheme="minorHAnsi"/>
          <w:lang w:val="en-US"/>
        </w:rPr>
        <w:t xml:space="preserve">, </w:t>
      </w:r>
      <w:r w:rsidR="00511B10" w:rsidRPr="00640A47">
        <w:rPr>
          <w:rFonts w:cstheme="minorHAnsi"/>
          <w:lang w:val="en-US"/>
        </w:rPr>
        <w:t>Lawrence H</w:t>
      </w:r>
      <w:r w:rsidR="00511B10">
        <w:rPr>
          <w:rFonts w:cstheme="minorHAnsi"/>
          <w:lang w:val="en-US"/>
        </w:rPr>
        <w:t>,</w:t>
      </w:r>
      <w:r w:rsidR="00511B10" w:rsidRPr="00640A47">
        <w:rPr>
          <w:rFonts w:cstheme="minorHAnsi"/>
          <w:lang w:val="en-US"/>
        </w:rPr>
        <w:t xml:space="preserve"> </w:t>
      </w:r>
      <w:r w:rsidR="0000557E" w:rsidRPr="00640A47">
        <w:rPr>
          <w:rFonts w:cstheme="minorHAnsi"/>
          <w:smallCaps/>
          <w:lang w:val="en-US"/>
        </w:rPr>
        <w:t>Coleman</w:t>
      </w:r>
      <w:r w:rsidR="00511B10">
        <w:rPr>
          <w:rFonts w:cstheme="minorHAnsi"/>
          <w:smallCaps/>
          <w:lang w:val="en-US"/>
        </w:rPr>
        <w:t>,</w:t>
      </w:r>
      <w:r w:rsidR="00511B10" w:rsidRPr="00511B10">
        <w:rPr>
          <w:rFonts w:cstheme="minorHAnsi"/>
          <w:lang w:val="en-US"/>
        </w:rPr>
        <w:t xml:space="preserve"> </w:t>
      </w:r>
      <w:r w:rsidR="00511B10" w:rsidRPr="00640A47">
        <w:rPr>
          <w:rFonts w:cstheme="minorHAnsi"/>
          <w:lang w:val="en-US"/>
        </w:rPr>
        <w:t>Marilyn</w:t>
      </w:r>
      <w:r w:rsidR="0000557E" w:rsidRPr="00640A47">
        <w:rPr>
          <w:rFonts w:cstheme="minorHAnsi"/>
          <w:lang w:val="en-US"/>
        </w:rPr>
        <w:t xml:space="preserve">, </w:t>
      </w:r>
      <w:r w:rsidR="0000557E" w:rsidRPr="00640A47">
        <w:rPr>
          <w:rFonts w:cstheme="minorHAnsi"/>
          <w:smallCaps/>
          <w:lang w:val="en-US"/>
        </w:rPr>
        <w:t>Jamison</w:t>
      </w:r>
      <w:r w:rsidR="0000557E" w:rsidRPr="00640A47">
        <w:rPr>
          <w:rFonts w:cstheme="minorHAnsi"/>
          <w:lang w:val="en-US"/>
        </w:rPr>
        <w:t>,</w:t>
      </w:r>
      <w:r w:rsidR="00511B10" w:rsidRPr="00511B10">
        <w:rPr>
          <w:rFonts w:cstheme="minorHAnsi"/>
          <w:lang w:val="en-US"/>
        </w:rPr>
        <w:t xml:space="preserve"> </w:t>
      </w:r>
      <w:r w:rsidR="00511B10" w:rsidRPr="00640A47">
        <w:rPr>
          <w:rFonts w:cstheme="minorHAnsi"/>
          <w:lang w:val="en-US"/>
        </w:rPr>
        <w:t>Tyler B</w:t>
      </w:r>
      <w:r w:rsidR="00511B10">
        <w:rPr>
          <w:rFonts w:cstheme="minorHAnsi"/>
          <w:lang w:val="en-US"/>
        </w:rPr>
        <w:t>,</w:t>
      </w:r>
      <w:r w:rsidR="0000557E" w:rsidRPr="00640A47">
        <w:rPr>
          <w:rFonts w:cstheme="minorHAnsi"/>
          <w:lang w:val="en-US"/>
        </w:rPr>
        <w:t xml:space="preserve"> “Patterns of Stepchild – Stepparent Relationship Development”, </w:t>
      </w:r>
      <w:r w:rsidR="0000557E" w:rsidRPr="00640A47">
        <w:rPr>
          <w:rFonts w:cstheme="minorHAnsi"/>
          <w:i/>
          <w:lang w:val="en-US"/>
        </w:rPr>
        <w:t xml:space="preserve">Journal Marriage &amp; Family, </w:t>
      </w:r>
      <w:r w:rsidR="0000557E" w:rsidRPr="00640A47">
        <w:rPr>
          <w:rFonts w:cstheme="minorHAnsi"/>
          <w:lang w:val="en-US"/>
        </w:rPr>
        <w:t xml:space="preserve">2011, </w:t>
      </w:r>
      <w:proofErr w:type="spellStart"/>
      <w:r w:rsidR="0000557E" w:rsidRPr="00640A47">
        <w:rPr>
          <w:rFonts w:cstheme="minorHAnsi"/>
          <w:lang w:val="en-US"/>
        </w:rPr>
        <w:t>núm</w:t>
      </w:r>
      <w:proofErr w:type="spellEnd"/>
      <w:r w:rsidR="0000557E" w:rsidRPr="00640A47">
        <w:rPr>
          <w:rFonts w:cstheme="minorHAnsi"/>
          <w:lang w:val="en-US"/>
        </w:rPr>
        <w:t>. 73, p. 396 ss.</w:t>
      </w:r>
    </w:p>
  </w:footnote>
  <w:footnote w:id="37">
    <w:p w:rsidR="00BB4C87" w:rsidRPr="00640A47" w:rsidRDefault="00BB4C87" w:rsidP="00713617">
      <w:pPr>
        <w:pStyle w:val="Textonotapie"/>
        <w:jc w:val="both"/>
        <w:rPr>
          <w:rFonts w:cstheme="minorHAnsi"/>
        </w:rPr>
      </w:pPr>
      <w:r w:rsidRPr="00640A47">
        <w:rPr>
          <w:rStyle w:val="Refdenotaalpie"/>
          <w:rFonts w:cstheme="minorHAnsi"/>
        </w:rPr>
        <w:footnoteRef/>
      </w:r>
      <w:r w:rsidRPr="00640A47">
        <w:rPr>
          <w:rFonts w:cstheme="minorHAnsi"/>
        </w:rPr>
        <w:t xml:space="preserve"> La convivencia desde la minoridad es exigida en la sección 6454(a) del </w:t>
      </w:r>
      <w:r w:rsidRPr="00640A47">
        <w:rPr>
          <w:rFonts w:cstheme="minorHAnsi"/>
          <w:i/>
        </w:rPr>
        <w:t xml:space="preserve">California </w:t>
      </w:r>
      <w:proofErr w:type="spellStart"/>
      <w:r w:rsidRPr="00640A47">
        <w:rPr>
          <w:rFonts w:cstheme="minorHAnsi"/>
          <w:i/>
        </w:rPr>
        <w:t>Probate</w:t>
      </w:r>
      <w:proofErr w:type="spellEnd"/>
      <w:r w:rsidRPr="00640A47">
        <w:rPr>
          <w:rFonts w:cstheme="minorHAnsi"/>
          <w:i/>
        </w:rPr>
        <w:t xml:space="preserve"> </w:t>
      </w:r>
      <w:proofErr w:type="spellStart"/>
      <w:r w:rsidRPr="00640A47">
        <w:rPr>
          <w:rFonts w:cstheme="minorHAnsi"/>
          <w:i/>
        </w:rPr>
        <w:t>Code</w:t>
      </w:r>
      <w:proofErr w:type="spellEnd"/>
      <w:r w:rsidRPr="00640A47">
        <w:rPr>
          <w:rFonts w:cstheme="minorHAnsi"/>
          <w:i/>
        </w:rPr>
        <w:t>, c</w:t>
      </w:r>
      <w:r w:rsidRPr="00640A47">
        <w:rPr>
          <w:rFonts w:cstheme="minorHAnsi"/>
        </w:rPr>
        <w:t xml:space="preserve">omo ya hemos visto, y es un factor en el que han insistido autoras como </w:t>
      </w:r>
      <w:proofErr w:type="spellStart"/>
      <w:r w:rsidRPr="00511B10">
        <w:rPr>
          <w:rFonts w:cstheme="minorHAnsi"/>
          <w:smallCaps/>
        </w:rPr>
        <w:t>Mahoney</w:t>
      </w:r>
      <w:proofErr w:type="spellEnd"/>
      <w:r w:rsidRPr="00640A47">
        <w:rPr>
          <w:rFonts w:cstheme="minorHAnsi"/>
        </w:rPr>
        <w:t>, “</w:t>
      </w:r>
      <w:proofErr w:type="spellStart"/>
      <w:r w:rsidRPr="00640A47">
        <w:rPr>
          <w:rFonts w:cstheme="minorHAnsi"/>
        </w:rPr>
        <w:t>Stepfamilies</w:t>
      </w:r>
      <w:proofErr w:type="spellEnd"/>
      <w:r w:rsidRPr="00640A47">
        <w:rPr>
          <w:rFonts w:cstheme="minorHAnsi"/>
        </w:rPr>
        <w:t xml:space="preserve">”, </w:t>
      </w:r>
      <w:proofErr w:type="spellStart"/>
      <w:r w:rsidR="00511B10">
        <w:rPr>
          <w:rFonts w:cstheme="minorHAnsi"/>
        </w:rPr>
        <w:t>op</w:t>
      </w:r>
      <w:proofErr w:type="spellEnd"/>
      <w:r w:rsidR="00511B10">
        <w:rPr>
          <w:rFonts w:cstheme="minorHAnsi"/>
        </w:rPr>
        <w:t xml:space="preserve">. cit., </w:t>
      </w:r>
      <w:r w:rsidRPr="00640A47">
        <w:rPr>
          <w:rFonts w:cstheme="minorHAnsi"/>
        </w:rPr>
        <w:t xml:space="preserve">p. 930, o  </w:t>
      </w:r>
      <w:proofErr w:type="spellStart"/>
      <w:r w:rsidRPr="00511B10">
        <w:rPr>
          <w:rFonts w:cstheme="minorHAnsi"/>
          <w:smallCaps/>
        </w:rPr>
        <w:t>Cremer</w:t>
      </w:r>
      <w:proofErr w:type="spellEnd"/>
      <w:r w:rsidRPr="00640A47">
        <w:rPr>
          <w:rFonts w:cstheme="minorHAnsi"/>
        </w:rPr>
        <w:t>, “</w:t>
      </w:r>
      <w:proofErr w:type="spellStart"/>
      <w:r w:rsidRPr="00640A47">
        <w:rPr>
          <w:rFonts w:cstheme="minorHAnsi"/>
        </w:rPr>
        <w:t>Stepfamily</w:t>
      </w:r>
      <w:proofErr w:type="spellEnd"/>
      <w:r w:rsidRPr="00640A47">
        <w:rPr>
          <w:rFonts w:cstheme="minorHAnsi"/>
        </w:rPr>
        <w:t xml:space="preserve">”, </w:t>
      </w:r>
      <w:proofErr w:type="spellStart"/>
      <w:r w:rsidR="00511B10">
        <w:rPr>
          <w:rFonts w:cstheme="minorHAnsi"/>
        </w:rPr>
        <w:t>op</w:t>
      </w:r>
      <w:proofErr w:type="spellEnd"/>
      <w:r w:rsidR="00511B10">
        <w:rPr>
          <w:rFonts w:cstheme="minorHAnsi"/>
        </w:rPr>
        <w:t xml:space="preserve">. cit., </w:t>
      </w:r>
      <w:r w:rsidRPr="00640A47">
        <w:rPr>
          <w:rFonts w:cstheme="minorHAnsi"/>
        </w:rPr>
        <w:t>p. 98.</w:t>
      </w:r>
    </w:p>
  </w:footnote>
  <w:footnote w:id="38">
    <w:p w:rsidR="00BB4C87" w:rsidRPr="00640A47" w:rsidRDefault="00BB4C87" w:rsidP="009027E6">
      <w:pPr>
        <w:pStyle w:val="Textonotapie"/>
        <w:jc w:val="both"/>
        <w:rPr>
          <w:rFonts w:cstheme="minorHAnsi"/>
        </w:rPr>
      </w:pPr>
      <w:r w:rsidRPr="00640A47">
        <w:rPr>
          <w:rStyle w:val="Refdenotaalpie"/>
          <w:rFonts w:cstheme="minorHAnsi"/>
        </w:rPr>
        <w:footnoteRef/>
      </w:r>
      <w:r w:rsidRPr="00640A47">
        <w:rPr>
          <w:rFonts w:cstheme="minorHAnsi"/>
        </w:rPr>
        <w:t xml:space="preserve"> A pesar de que en España la prueba de la relación a manera de progenitor e hijo o hija tiene una contrastada tradición en la posesión de estado, que en el Código Civil todavía es nuclear en el ejercicio de las acciones de filiación (art. 131 CC), hasta el punto de que mediante la posesión de estado puede probarse la misma filiación (art. 113 CC).</w:t>
      </w:r>
    </w:p>
  </w:footnote>
  <w:footnote w:id="39">
    <w:p w:rsidR="00BB4C87" w:rsidRPr="00640A47" w:rsidRDefault="00BB4C87" w:rsidP="00BB4C87">
      <w:pPr>
        <w:pStyle w:val="Textonotapie"/>
        <w:jc w:val="both"/>
        <w:rPr>
          <w:rFonts w:cstheme="minorHAnsi"/>
        </w:rPr>
      </w:pPr>
      <w:r w:rsidRPr="00640A47">
        <w:rPr>
          <w:rStyle w:val="Refdenotaalpie"/>
          <w:rFonts w:cstheme="minorHAnsi"/>
        </w:rPr>
        <w:footnoteRef/>
      </w:r>
      <w:r w:rsidRPr="00640A47">
        <w:rPr>
          <w:rFonts w:cstheme="minorHAnsi"/>
        </w:rPr>
        <w:t xml:space="preserve"> Por ejemplo, </w:t>
      </w:r>
      <w:proofErr w:type="spellStart"/>
      <w:r w:rsidRPr="00640A47">
        <w:rPr>
          <w:rFonts w:cstheme="minorHAnsi"/>
          <w:smallCaps/>
        </w:rPr>
        <w:t>Fontanella</w:t>
      </w:r>
      <w:proofErr w:type="spellEnd"/>
      <w:r w:rsidRPr="00640A47">
        <w:rPr>
          <w:rFonts w:cstheme="minorHAnsi"/>
        </w:rPr>
        <w:t xml:space="preserve">, </w:t>
      </w:r>
      <w:proofErr w:type="spellStart"/>
      <w:r w:rsidR="00511B10" w:rsidRPr="00640A47">
        <w:rPr>
          <w:rFonts w:cstheme="minorHAnsi"/>
        </w:rPr>
        <w:t>Joannes</w:t>
      </w:r>
      <w:proofErr w:type="spellEnd"/>
      <w:r w:rsidR="00511B10" w:rsidRPr="00640A47">
        <w:rPr>
          <w:rFonts w:cstheme="minorHAnsi"/>
        </w:rPr>
        <w:t xml:space="preserve"> Petrus</w:t>
      </w:r>
      <w:r w:rsidR="00511B10">
        <w:rPr>
          <w:rFonts w:cstheme="minorHAnsi"/>
        </w:rPr>
        <w:t>,</w:t>
      </w:r>
      <w:r w:rsidR="00511B10" w:rsidRPr="00640A47">
        <w:rPr>
          <w:rFonts w:cstheme="minorHAnsi"/>
          <w:i/>
        </w:rPr>
        <w:t xml:space="preserve"> </w:t>
      </w:r>
      <w:r w:rsidRPr="00640A47">
        <w:rPr>
          <w:rFonts w:cstheme="minorHAnsi"/>
          <w:i/>
        </w:rPr>
        <w:t xml:space="preserve">Decisiones </w:t>
      </w:r>
      <w:proofErr w:type="spellStart"/>
      <w:r w:rsidRPr="00640A47">
        <w:rPr>
          <w:rFonts w:cstheme="minorHAnsi"/>
          <w:i/>
        </w:rPr>
        <w:t>Sacri</w:t>
      </w:r>
      <w:proofErr w:type="spellEnd"/>
      <w:r w:rsidRPr="00640A47">
        <w:rPr>
          <w:rFonts w:cstheme="minorHAnsi"/>
          <w:i/>
        </w:rPr>
        <w:t xml:space="preserve"> </w:t>
      </w:r>
      <w:proofErr w:type="spellStart"/>
      <w:r w:rsidRPr="00640A47">
        <w:rPr>
          <w:rFonts w:cstheme="minorHAnsi"/>
          <w:i/>
        </w:rPr>
        <w:t>Regii</w:t>
      </w:r>
      <w:proofErr w:type="spellEnd"/>
      <w:r w:rsidRPr="00640A47">
        <w:rPr>
          <w:rFonts w:cstheme="minorHAnsi"/>
          <w:i/>
        </w:rPr>
        <w:t xml:space="preserve"> </w:t>
      </w:r>
      <w:proofErr w:type="spellStart"/>
      <w:r w:rsidRPr="00640A47">
        <w:rPr>
          <w:rFonts w:cstheme="minorHAnsi"/>
          <w:i/>
        </w:rPr>
        <w:t>Senatus</w:t>
      </w:r>
      <w:proofErr w:type="spellEnd"/>
      <w:r w:rsidRPr="00640A47">
        <w:rPr>
          <w:rFonts w:cstheme="minorHAnsi"/>
          <w:i/>
        </w:rPr>
        <w:t xml:space="preserve"> </w:t>
      </w:r>
      <w:proofErr w:type="spellStart"/>
      <w:r w:rsidRPr="00640A47">
        <w:rPr>
          <w:rFonts w:cstheme="minorHAnsi"/>
          <w:i/>
        </w:rPr>
        <w:t>Cathaloniae</w:t>
      </w:r>
      <w:proofErr w:type="spellEnd"/>
      <w:r w:rsidRPr="00640A47">
        <w:rPr>
          <w:rFonts w:cstheme="minorHAnsi"/>
          <w:i/>
        </w:rPr>
        <w:t xml:space="preserve">, </w:t>
      </w:r>
      <w:r w:rsidRPr="00640A47">
        <w:rPr>
          <w:rFonts w:cstheme="minorHAnsi"/>
        </w:rPr>
        <w:t xml:space="preserve">t. I, </w:t>
      </w:r>
      <w:proofErr w:type="spellStart"/>
      <w:r w:rsidRPr="00640A47">
        <w:rPr>
          <w:rFonts w:cstheme="minorHAnsi"/>
          <w:i/>
        </w:rPr>
        <w:t>Decisio</w:t>
      </w:r>
      <w:proofErr w:type="spellEnd"/>
      <w:r w:rsidRPr="00640A47">
        <w:rPr>
          <w:rFonts w:cstheme="minorHAnsi"/>
          <w:i/>
        </w:rPr>
        <w:t xml:space="preserve"> </w:t>
      </w:r>
      <w:r w:rsidRPr="00640A47">
        <w:rPr>
          <w:rFonts w:cstheme="minorHAnsi"/>
        </w:rPr>
        <w:t xml:space="preserve">280, </w:t>
      </w:r>
      <w:proofErr w:type="spellStart"/>
      <w:r w:rsidR="00511B10" w:rsidRPr="00511B10">
        <w:rPr>
          <w:rFonts w:cstheme="minorHAnsi"/>
        </w:rPr>
        <w:t>sumptibus</w:t>
      </w:r>
      <w:proofErr w:type="spellEnd"/>
      <w:r w:rsidR="00511B10" w:rsidRPr="00511B10">
        <w:rPr>
          <w:rFonts w:cstheme="minorHAnsi"/>
        </w:rPr>
        <w:t xml:space="preserve"> </w:t>
      </w:r>
      <w:proofErr w:type="spellStart"/>
      <w:r w:rsidR="00511B10" w:rsidRPr="00511B10">
        <w:rPr>
          <w:rFonts w:cstheme="minorHAnsi"/>
        </w:rPr>
        <w:t>Perachon</w:t>
      </w:r>
      <w:proofErr w:type="spellEnd"/>
      <w:r w:rsidR="00511B10" w:rsidRPr="00511B10">
        <w:rPr>
          <w:rFonts w:cstheme="minorHAnsi"/>
        </w:rPr>
        <w:t xml:space="preserve"> &amp; </w:t>
      </w:r>
      <w:proofErr w:type="spellStart"/>
      <w:r w:rsidR="00511B10" w:rsidRPr="00511B10">
        <w:rPr>
          <w:rFonts w:cstheme="minorHAnsi"/>
        </w:rPr>
        <w:t>Cramer</w:t>
      </w:r>
      <w:proofErr w:type="spellEnd"/>
      <w:r w:rsidR="00511B10">
        <w:rPr>
          <w:rFonts w:cstheme="minorHAnsi"/>
        </w:rPr>
        <w:t xml:space="preserve">, </w:t>
      </w:r>
      <w:proofErr w:type="spellStart"/>
      <w:r w:rsidRPr="00640A47">
        <w:rPr>
          <w:rFonts w:cstheme="minorHAnsi"/>
        </w:rPr>
        <w:t>Coloniae</w:t>
      </w:r>
      <w:proofErr w:type="spellEnd"/>
      <w:r w:rsidRPr="00640A47">
        <w:rPr>
          <w:rFonts w:cstheme="minorHAnsi"/>
        </w:rPr>
        <w:t xml:space="preserve"> </w:t>
      </w:r>
      <w:proofErr w:type="spellStart"/>
      <w:r w:rsidRPr="00640A47">
        <w:rPr>
          <w:rFonts w:cstheme="minorHAnsi"/>
        </w:rPr>
        <w:t>Allobrogum</w:t>
      </w:r>
      <w:proofErr w:type="spellEnd"/>
      <w:r w:rsidRPr="00640A47">
        <w:rPr>
          <w:rFonts w:cstheme="minorHAnsi"/>
        </w:rPr>
        <w:t>, 1735.</w:t>
      </w:r>
    </w:p>
  </w:footnote>
  <w:footnote w:id="40">
    <w:p w:rsidR="00721969" w:rsidRPr="00640A47" w:rsidRDefault="00721969" w:rsidP="00721969">
      <w:pPr>
        <w:pStyle w:val="Textonotapie"/>
        <w:jc w:val="both"/>
        <w:rPr>
          <w:rFonts w:cstheme="minorHAnsi"/>
          <w:lang w:val="en-US"/>
        </w:rPr>
      </w:pPr>
      <w:r w:rsidRPr="00640A47">
        <w:rPr>
          <w:rStyle w:val="Refdenotaalpie"/>
          <w:rFonts w:cstheme="minorHAnsi"/>
        </w:rPr>
        <w:footnoteRef/>
      </w:r>
      <w:r w:rsidRPr="00640A47">
        <w:rPr>
          <w:rFonts w:cstheme="minorHAnsi"/>
          <w:lang w:val="en-US"/>
        </w:rPr>
        <w:t xml:space="preserve"> </w:t>
      </w:r>
      <w:proofErr w:type="spellStart"/>
      <w:r w:rsidRPr="00640A47">
        <w:rPr>
          <w:rFonts w:cstheme="minorHAnsi"/>
          <w:lang w:val="en-US"/>
        </w:rPr>
        <w:t>Véanse</w:t>
      </w:r>
      <w:proofErr w:type="spellEnd"/>
      <w:r w:rsidRPr="00640A47">
        <w:rPr>
          <w:rFonts w:cstheme="minorHAnsi"/>
          <w:lang w:val="en-US"/>
        </w:rPr>
        <w:t xml:space="preserve"> las </w:t>
      </w:r>
      <w:proofErr w:type="spellStart"/>
      <w:r w:rsidRPr="00640A47">
        <w:rPr>
          <w:rFonts w:cstheme="minorHAnsi"/>
          <w:lang w:val="en-US"/>
        </w:rPr>
        <w:t>reflexiones</w:t>
      </w:r>
      <w:proofErr w:type="spellEnd"/>
      <w:r w:rsidRPr="00640A47">
        <w:rPr>
          <w:rFonts w:cstheme="minorHAnsi"/>
          <w:lang w:val="en-US"/>
        </w:rPr>
        <w:t xml:space="preserve"> para el derecho de </w:t>
      </w:r>
      <w:proofErr w:type="spellStart"/>
      <w:r w:rsidRPr="00640A47">
        <w:rPr>
          <w:rFonts w:cstheme="minorHAnsi"/>
          <w:lang w:val="en-US"/>
        </w:rPr>
        <w:t>Luisiana</w:t>
      </w:r>
      <w:proofErr w:type="spellEnd"/>
      <w:r w:rsidRPr="00640A47">
        <w:rPr>
          <w:rFonts w:cstheme="minorHAnsi"/>
          <w:lang w:val="en-US"/>
        </w:rPr>
        <w:t xml:space="preserve"> de </w:t>
      </w:r>
      <w:proofErr w:type="spellStart"/>
      <w:r w:rsidRPr="00640A47">
        <w:rPr>
          <w:rFonts w:cstheme="minorHAnsi"/>
          <w:smallCaps/>
          <w:lang w:val="en-US"/>
        </w:rPr>
        <w:t>Dampf</w:t>
      </w:r>
      <w:proofErr w:type="spellEnd"/>
      <w:r w:rsidRPr="00640A47">
        <w:rPr>
          <w:rFonts w:cstheme="minorHAnsi"/>
          <w:lang w:val="en-US"/>
        </w:rPr>
        <w:t>,</w:t>
      </w:r>
      <w:r w:rsidR="00511B10" w:rsidRPr="00511B10">
        <w:rPr>
          <w:rFonts w:cstheme="minorHAnsi"/>
          <w:lang w:val="en-US"/>
        </w:rPr>
        <w:t xml:space="preserve"> </w:t>
      </w:r>
      <w:r w:rsidR="00511B10" w:rsidRPr="00640A47">
        <w:rPr>
          <w:rFonts w:cstheme="minorHAnsi"/>
          <w:lang w:val="en-US"/>
        </w:rPr>
        <w:t>Katherine H</w:t>
      </w:r>
      <w:r w:rsidR="00511B10">
        <w:rPr>
          <w:rFonts w:cstheme="minorHAnsi"/>
          <w:lang w:val="en-US"/>
        </w:rPr>
        <w:t>,</w:t>
      </w:r>
      <w:r w:rsidRPr="00640A47">
        <w:rPr>
          <w:rFonts w:cstheme="minorHAnsi"/>
          <w:lang w:val="en-US"/>
        </w:rPr>
        <w:t xml:space="preserve"> “Happily Ever After: Eliminating the 890 Usufruct to Protect the Blended Family”, </w:t>
      </w:r>
      <w:r w:rsidRPr="00640A47">
        <w:rPr>
          <w:rFonts w:cstheme="minorHAnsi"/>
          <w:i/>
          <w:lang w:val="en-US"/>
        </w:rPr>
        <w:t xml:space="preserve">Louisiana Law Review, </w:t>
      </w:r>
      <w:r w:rsidRPr="00640A47">
        <w:rPr>
          <w:rFonts w:cstheme="minorHAnsi"/>
          <w:lang w:val="en-US"/>
        </w:rPr>
        <w:t>2014, p. 899 ss.</w:t>
      </w:r>
    </w:p>
  </w:footnote>
  <w:footnote w:id="41">
    <w:p w:rsidR="00E62EA5" w:rsidRPr="00640A47" w:rsidRDefault="00E62EA5" w:rsidP="00E62EA5">
      <w:pPr>
        <w:pStyle w:val="Textonotapie"/>
        <w:jc w:val="both"/>
        <w:rPr>
          <w:rFonts w:cstheme="minorHAnsi"/>
        </w:rPr>
      </w:pPr>
      <w:r w:rsidRPr="00640A47">
        <w:rPr>
          <w:rStyle w:val="Refdenotaalpie"/>
          <w:rFonts w:cstheme="minorHAnsi"/>
        </w:rPr>
        <w:footnoteRef/>
      </w:r>
      <w:r w:rsidRPr="00640A47">
        <w:rPr>
          <w:rFonts w:cstheme="minorHAnsi"/>
        </w:rPr>
        <w:t xml:space="preserve"> Al respecto, </w:t>
      </w:r>
      <w:proofErr w:type="spellStart"/>
      <w:r w:rsidRPr="00640A47">
        <w:rPr>
          <w:rFonts w:cstheme="minorHAnsi"/>
          <w:smallCaps/>
        </w:rPr>
        <w:t>Vaquer</w:t>
      </w:r>
      <w:proofErr w:type="spellEnd"/>
      <w:r w:rsidRPr="00640A47">
        <w:rPr>
          <w:rFonts w:cstheme="minorHAnsi"/>
          <w:smallCaps/>
        </w:rPr>
        <w:t xml:space="preserve"> </w:t>
      </w:r>
      <w:proofErr w:type="spellStart"/>
      <w:r w:rsidRPr="00640A47">
        <w:rPr>
          <w:rFonts w:cstheme="minorHAnsi"/>
          <w:smallCaps/>
        </w:rPr>
        <w:t>Aloy</w:t>
      </w:r>
      <w:proofErr w:type="spellEnd"/>
      <w:r w:rsidRPr="00640A47">
        <w:rPr>
          <w:rFonts w:cstheme="minorHAnsi"/>
        </w:rPr>
        <w:t>,</w:t>
      </w:r>
      <w:r w:rsidR="00511B10" w:rsidRPr="00511B10">
        <w:rPr>
          <w:rFonts w:cstheme="minorHAnsi"/>
        </w:rPr>
        <w:t xml:space="preserve"> </w:t>
      </w:r>
      <w:r w:rsidR="00511B10" w:rsidRPr="00640A47">
        <w:rPr>
          <w:rFonts w:cstheme="minorHAnsi"/>
        </w:rPr>
        <w:t>Antoni</w:t>
      </w:r>
      <w:r w:rsidR="00511B10">
        <w:rPr>
          <w:rFonts w:cstheme="minorHAnsi"/>
        </w:rPr>
        <w:t>,</w:t>
      </w:r>
      <w:r w:rsidRPr="00640A47">
        <w:rPr>
          <w:rFonts w:cstheme="minorHAnsi"/>
        </w:rPr>
        <w:t xml:space="preserve"> “Acerca del fundamento de la legítima”, </w:t>
      </w:r>
      <w:proofErr w:type="spellStart"/>
      <w:r w:rsidRPr="00640A47">
        <w:rPr>
          <w:rFonts w:cstheme="minorHAnsi"/>
          <w:i/>
        </w:rPr>
        <w:t>InDret</w:t>
      </w:r>
      <w:proofErr w:type="spellEnd"/>
      <w:r w:rsidRPr="00640A47">
        <w:rPr>
          <w:rFonts w:cstheme="minorHAnsi"/>
          <w:i/>
        </w:rPr>
        <w:t xml:space="preserve">, </w:t>
      </w:r>
      <w:r w:rsidRPr="00640A47">
        <w:rPr>
          <w:rFonts w:cstheme="minorHAnsi"/>
        </w:rPr>
        <w:t>2017/4, y allí más referencias.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EC"/>
    <w:rsid w:val="000008FE"/>
    <w:rsid w:val="0000374B"/>
    <w:rsid w:val="00003C8E"/>
    <w:rsid w:val="0000557E"/>
    <w:rsid w:val="000218C6"/>
    <w:rsid w:val="000222E0"/>
    <w:rsid w:val="00023A6A"/>
    <w:rsid w:val="00032977"/>
    <w:rsid w:val="00034EF5"/>
    <w:rsid w:val="00046707"/>
    <w:rsid w:val="000502AB"/>
    <w:rsid w:val="00074966"/>
    <w:rsid w:val="00087310"/>
    <w:rsid w:val="00091DBE"/>
    <w:rsid w:val="000A799E"/>
    <w:rsid w:val="000E635B"/>
    <w:rsid w:val="000F7BCA"/>
    <w:rsid w:val="00106AAE"/>
    <w:rsid w:val="00154376"/>
    <w:rsid w:val="00156942"/>
    <w:rsid w:val="0016062D"/>
    <w:rsid w:val="00165C7C"/>
    <w:rsid w:val="00170304"/>
    <w:rsid w:val="00171454"/>
    <w:rsid w:val="00175581"/>
    <w:rsid w:val="00180F8F"/>
    <w:rsid w:val="0018407B"/>
    <w:rsid w:val="00192541"/>
    <w:rsid w:val="001C0CDB"/>
    <w:rsid w:val="001C1E05"/>
    <w:rsid w:val="001C5C07"/>
    <w:rsid w:val="001D43E4"/>
    <w:rsid w:val="001D59D1"/>
    <w:rsid w:val="00204302"/>
    <w:rsid w:val="00210B92"/>
    <w:rsid w:val="00211A8E"/>
    <w:rsid w:val="002134CA"/>
    <w:rsid w:val="002170A0"/>
    <w:rsid w:val="0022047B"/>
    <w:rsid w:val="0022659B"/>
    <w:rsid w:val="002411F5"/>
    <w:rsid w:val="00241769"/>
    <w:rsid w:val="002A03A8"/>
    <w:rsid w:val="002A2EE6"/>
    <w:rsid w:val="002A2F79"/>
    <w:rsid w:val="002A4D53"/>
    <w:rsid w:val="002C090B"/>
    <w:rsid w:val="002C5B70"/>
    <w:rsid w:val="002D58B4"/>
    <w:rsid w:val="002E2CB0"/>
    <w:rsid w:val="002E531C"/>
    <w:rsid w:val="002F1951"/>
    <w:rsid w:val="002F66DF"/>
    <w:rsid w:val="00314EDD"/>
    <w:rsid w:val="003322DE"/>
    <w:rsid w:val="003439BB"/>
    <w:rsid w:val="003512DF"/>
    <w:rsid w:val="00366122"/>
    <w:rsid w:val="003A3D00"/>
    <w:rsid w:val="003B551D"/>
    <w:rsid w:val="003B714C"/>
    <w:rsid w:val="003F2A14"/>
    <w:rsid w:val="00403700"/>
    <w:rsid w:val="00407F11"/>
    <w:rsid w:val="0044586E"/>
    <w:rsid w:val="00456714"/>
    <w:rsid w:val="0047385A"/>
    <w:rsid w:val="004A57F9"/>
    <w:rsid w:val="004D509B"/>
    <w:rsid w:val="004E6D2E"/>
    <w:rsid w:val="004F2A53"/>
    <w:rsid w:val="00511B10"/>
    <w:rsid w:val="005122C6"/>
    <w:rsid w:val="00527A61"/>
    <w:rsid w:val="0053385B"/>
    <w:rsid w:val="005749AF"/>
    <w:rsid w:val="005A6BF9"/>
    <w:rsid w:val="005A7637"/>
    <w:rsid w:val="005B21EC"/>
    <w:rsid w:val="005D6BC9"/>
    <w:rsid w:val="005F1B00"/>
    <w:rsid w:val="006022CC"/>
    <w:rsid w:val="00634013"/>
    <w:rsid w:val="00636D81"/>
    <w:rsid w:val="00640A47"/>
    <w:rsid w:val="00645CAF"/>
    <w:rsid w:val="006475ED"/>
    <w:rsid w:val="006535B2"/>
    <w:rsid w:val="00657B0D"/>
    <w:rsid w:val="00675E58"/>
    <w:rsid w:val="006B4FDC"/>
    <w:rsid w:val="006D3947"/>
    <w:rsid w:val="006F4DCB"/>
    <w:rsid w:val="0071179B"/>
    <w:rsid w:val="00713617"/>
    <w:rsid w:val="00721969"/>
    <w:rsid w:val="007431B9"/>
    <w:rsid w:val="00747A91"/>
    <w:rsid w:val="00754077"/>
    <w:rsid w:val="00780168"/>
    <w:rsid w:val="0079519C"/>
    <w:rsid w:val="007A11E5"/>
    <w:rsid w:val="007A77BB"/>
    <w:rsid w:val="007C31C7"/>
    <w:rsid w:val="007D1093"/>
    <w:rsid w:val="007E25C7"/>
    <w:rsid w:val="007E5F86"/>
    <w:rsid w:val="00821453"/>
    <w:rsid w:val="00833227"/>
    <w:rsid w:val="00843453"/>
    <w:rsid w:val="00844EB8"/>
    <w:rsid w:val="008562A0"/>
    <w:rsid w:val="00897B95"/>
    <w:rsid w:val="008B7188"/>
    <w:rsid w:val="008B7411"/>
    <w:rsid w:val="008D1EA3"/>
    <w:rsid w:val="008E2D47"/>
    <w:rsid w:val="008F059C"/>
    <w:rsid w:val="009027E6"/>
    <w:rsid w:val="00903FB6"/>
    <w:rsid w:val="00905AF8"/>
    <w:rsid w:val="00907757"/>
    <w:rsid w:val="00916C01"/>
    <w:rsid w:val="009412D6"/>
    <w:rsid w:val="009614CA"/>
    <w:rsid w:val="00972A9F"/>
    <w:rsid w:val="00973EF9"/>
    <w:rsid w:val="009C2655"/>
    <w:rsid w:val="009C301C"/>
    <w:rsid w:val="00A13538"/>
    <w:rsid w:val="00A24A05"/>
    <w:rsid w:val="00A4318B"/>
    <w:rsid w:val="00A61670"/>
    <w:rsid w:val="00A63534"/>
    <w:rsid w:val="00A746D8"/>
    <w:rsid w:val="00A856D0"/>
    <w:rsid w:val="00AB5868"/>
    <w:rsid w:val="00AC376E"/>
    <w:rsid w:val="00AC54EE"/>
    <w:rsid w:val="00AC6525"/>
    <w:rsid w:val="00AE31EC"/>
    <w:rsid w:val="00AF0080"/>
    <w:rsid w:val="00AF38E0"/>
    <w:rsid w:val="00AF5C30"/>
    <w:rsid w:val="00B14701"/>
    <w:rsid w:val="00B41EDB"/>
    <w:rsid w:val="00B92EAD"/>
    <w:rsid w:val="00BA63C0"/>
    <w:rsid w:val="00BB1E69"/>
    <w:rsid w:val="00BB4C87"/>
    <w:rsid w:val="00BC6589"/>
    <w:rsid w:val="00BD0D5C"/>
    <w:rsid w:val="00BD6152"/>
    <w:rsid w:val="00BF1A5F"/>
    <w:rsid w:val="00C166F0"/>
    <w:rsid w:val="00C5201E"/>
    <w:rsid w:val="00C83CBF"/>
    <w:rsid w:val="00C97BC8"/>
    <w:rsid w:val="00CA2A39"/>
    <w:rsid w:val="00CB2BF6"/>
    <w:rsid w:val="00CE6168"/>
    <w:rsid w:val="00CF2011"/>
    <w:rsid w:val="00D70704"/>
    <w:rsid w:val="00D71000"/>
    <w:rsid w:val="00D8424E"/>
    <w:rsid w:val="00DE6162"/>
    <w:rsid w:val="00E52FBD"/>
    <w:rsid w:val="00E57E63"/>
    <w:rsid w:val="00E62EA5"/>
    <w:rsid w:val="00E7193B"/>
    <w:rsid w:val="00E7423F"/>
    <w:rsid w:val="00E86A44"/>
    <w:rsid w:val="00EB18EA"/>
    <w:rsid w:val="00EB53C0"/>
    <w:rsid w:val="00ED5E4F"/>
    <w:rsid w:val="00EF1CDB"/>
    <w:rsid w:val="00EF701F"/>
    <w:rsid w:val="00EF7BDE"/>
    <w:rsid w:val="00F11755"/>
    <w:rsid w:val="00F27040"/>
    <w:rsid w:val="00F3134D"/>
    <w:rsid w:val="00F37062"/>
    <w:rsid w:val="00F72D1E"/>
    <w:rsid w:val="00F737E5"/>
    <w:rsid w:val="00FA0D61"/>
    <w:rsid w:val="00FB3CFF"/>
    <w:rsid w:val="00FF0849"/>
    <w:rsid w:val="00FF3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A59CF-77D3-4855-969F-37482301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92EAD"/>
    <w:pPr>
      <w:spacing w:after="0" w:line="240" w:lineRule="auto"/>
    </w:pPr>
    <w:rPr>
      <w:sz w:val="20"/>
      <w:szCs w:val="20"/>
    </w:rPr>
  </w:style>
  <w:style w:type="character" w:customStyle="1" w:styleId="TextonotapieCar">
    <w:name w:val="Texto nota pie Car"/>
    <w:basedOn w:val="Fuentedeprrafopredeter"/>
    <w:link w:val="Textonotapie"/>
    <w:uiPriority w:val="99"/>
    <w:rsid w:val="00B92EAD"/>
    <w:rPr>
      <w:sz w:val="20"/>
      <w:szCs w:val="20"/>
    </w:rPr>
  </w:style>
  <w:style w:type="character" w:styleId="Refdenotaalpie">
    <w:name w:val="footnote reference"/>
    <w:basedOn w:val="Fuentedeprrafopredeter"/>
    <w:uiPriority w:val="99"/>
    <w:semiHidden/>
    <w:unhideWhenUsed/>
    <w:rsid w:val="00B92EAD"/>
    <w:rPr>
      <w:vertAlign w:val="superscript"/>
    </w:rPr>
  </w:style>
  <w:style w:type="paragraph" w:styleId="Encabezado">
    <w:name w:val="header"/>
    <w:basedOn w:val="Normal"/>
    <w:link w:val="EncabezadoCar"/>
    <w:uiPriority w:val="99"/>
    <w:unhideWhenUsed/>
    <w:rsid w:val="006340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4013"/>
  </w:style>
  <w:style w:type="paragraph" w:styleId="Piedepgina">
    <w:name w:val="footer"/>
    <w:basedOn w:val="Normal"/>
    <w:link w:val="PiedepginaCar"/>
    <w:uiPriority w:val="99"/>
    <w:unhideWhenUsed/>
    <w:rsid w:val="006340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4013"/>
  </w:style>
  <w:style w:type="character" w:styleId="Refdecomentario">
    <w:name w:val="annotation reference"/>
    <w:basedOn w:val="Fuentedeprrafopredeter"/>
    <w:uiPriority w:val="99"/>
    <w:semiHidden/>
    <w:unhideWhenUsed/>
    <w:rsid w:val="000008FE"/>
    <w:rPr>
      <w:sz w:val="16"/>
      <w:szCs w:val="16"/>
    </w:rPr>
  </w:style>
  <w:style w:type="paragraph" w:styleId="Textocomentario">
    <w:name w:val="annotation text"/>
    <w:basedOn w:val="Normal"/>
    <w:link w:val="TextocomentarioCar"/>
    <w:uiPriority w:val="99"/>
    <w:semiHidden/>
    <w:unhideWhenUsed/>
    <w:rsid w:val="000008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08FE"/>
    <w:rPr>
      <w:sz w:val="20"/>
      <w:szCs w:val="20"/>
    </w:rPr>
  </w:style>
  <w:style w:type="paragraph" w:styleId="Asuntodelcomentario">
    <w:name w:val="annotation subject"/>
    <w:basedOn w:val="Textocomentario"/>
    <w:next w:val="Textocomentario"/>
    <w:link w:val="AsuntodelcomentarioCar"/>
    <w:uiPriority w:val="99"/>
    <w:semiHidden/>
    <w:unhideWhenUsed/>
    <w:rsid w:val="000008FE"/>
    <w:rPr>
      <w:b/>
      <w:bCs/>
    </w:rPr>
  </w:style>
  <w:style w:type="character" w:customStyle="1" w:styleId="AsuntodelcomentarioCar">
    <w:name w:val="Asunto del comentario Car"/>
    <w:basedOn w:val="TextocomentarioCar"/>
    <w:link w:val="Asuntodelcomentario"/>
    <w:uiPriority w:val="99"/>
    <w:semiHidden/>
    <w:rsid w:val="000008FE"/>
    <w:rPr>
      <w:b/>
      <w:bCs/>
      <w:sz w:val="20"/>
      <w:szCs w:val="20"/>
    </w:rPr>
  </w:style>
  <w:style w:type="paragraph" w:styleId="Textodeglobo">
    <w:name w:val="Balloon Text"/>
    <w:basedOn w:val="Normal"/>
    <w:link w:val="TextodegloboCar"/>
    <w:uiPriority w:val="99"/>
    <w:semiHidden/>
    <w:unhideWhenUsed/>
    <w:rsid w:val="000008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8FE"/>
    <w:rPr>
      <w:rFonts w:ascii="Tahoma" w:hAnsi="Tahoma" w:cs="Tahoma"/>
      <w:sz w:val="16"/>
      <w:szCs w:val="16"/>
    </w:rPr>
  </w:style>
  <w:style w:type="character" w:styleId="Hipervnculo">
    <w:name w:val="Hyperlink"/>
    <w:basedOn w:val="Fuentedeprrafopredeter"/>
    <w:uiPriority w:val="99"/>
    <w:unhideWhenUsed/>
    <w:rsid w:val="001C5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7153">
      <w:bodyDiv w:val="1"/>
      <w:marLeft w:val="0"/>
      <w:marRight w:val="0"/>
      <w:marTop w:val="0"/>
      <w:marBottom w:val="0"/>
      <w:divBdr>
        <w:top w:val="none" w:sz="0" w:space="0" w:color="auto"/>
        <w:left w:val="none" w:sz="0" w:space="0" w:color="auto"/>
        <w:bottom w:val="none" w:sz="0" w:space="0" w:color="auto"/>
        <w:right w:val="none" w:sz="0" w:space="0" w:color="auto"/>
      </w:divBdr>
      <w:divsChild>
        <w:div w:id="603733189">
          <w:marLeft w:val="0"/>
          <w:marRight w:val="0"/>
          <w:marTop w:val="0"/>
          <w:marBottom w:val="0"/>
          <w:divBdr>
            <w:top w:val="none" w:sz="0" w:space="0" w:color="auto"/>
            <w:left w:val="none" w:sz="0" w:space="0" w:color="auto"/>
            <w:bottom w:val="none" w:sz="0" w:space="0" w:color="auto"/>
            <w:right w:val="none" w:sz="0" w:space="0" w:color="auto"/>
          </w:divBdr>
        </w:div>
        <w:div w:id="1566839585">
          <w:marLeft w:val="0"/>
          <w:marRight w:val="0"/>
          <w:marTop w:val="0"/>
          <w:marBottom w:val="0"/>
          <w:divBdr>
            <w:top w:val="none" w:sz="0" w:space="0" w:color="auto"/>
            <w:left w:val="none" w:sz="0" w:space="0" w:color="auto"/>
            <w:bottom w:val="none" w:sz="0" w:space="0" w:color="auto"/>
            <w:right w:val="none" w:sz="0" w:space="0" w:color="auto"/>
          </w:divBdr>
        </w:div>
        <w:div w:id="2033217904">
          <w:marLeft w:val="0"/>
          <w:marRight w:val="0"/>
          <w:marTop w:val="0"/>
          <w:marBottom w:val="0"/>
          <w:divBdr>
            <w:top w:val="none" w:sz="0" w:space="0" w:color="auto"/>
            <w:left w:val="none" w:sz="0" w:space="0" w:color="auto"/>
            <w:bottom w:val="none" w:sz="0" w:space="0" w:color="auto"/>
            <w:right w:val="none" w:sz="0" w:space="0" w:color="auto"/>
          </w:divBdr>
        </w:div>
        <w:div w:id="2032144671">
          <w:marLeft w:val="0"/>
          <w:marRight w:val="0"/>
          <w:marTop w:val="0"/>
          <w:marBottom w:val="0"/>
          <w:divBdr>
            <w:top w:val="none" w:sz="0" w:space="0" w:color="auto"/>
            <w:left w:val="none" w:sz="0" w:space="0" w:color="auto"/>
            <w:bottom w:val="none" w:sz="0" w:space="0" w:color="auto"/>
            <w:right w:val="none" w:sz="0" w:space="0" w:color="auto"/>
          </w:divBdr>
        </w:div>
        <w:div w:id="1670870365">
          <w:marLeft w:val="0"/>
          <w:marRight w:val="0"/>
          <w:marTop w:val="0"/>
          <w:marBottom w:val="0"/>
          <w:divBdr>
            <w:top w:val="none" w:sz="0" w:space="0" w:color="auto"/>
            <w:left w:val="none" w:sz="0" w:space="0" w:color="auto"/>
            <w:bottom w:val="none" w:sz="0" w:space="0" w:color="auto"/>
            <w:right w:val="none" w:sz="0" w:space="0" w:color="auto"/>
          </w:divBdr>
        </w:div>
        <w:div w:id="761799062">
          <w:marLeft w:val="0"/>
          <w:marRight w:val="0"/>
          <w:marTop w:val="0"/>
          <w:marBottom w:val="0"/>
          <w:divBdr>
            <w:top w:val="none" w:sz="0" w:space="0" w:color="auto"/>
            <w:left w:val="none" w:sz="0" w:space="0" w:color="auto"/>
            <w:bottom w:val="none" w:sz="0" w:space="0" w:color="auto"/>
            <w:right w:val="none" w:sz="0" w:space="0" w:color="auto"/>
          </w:divBdr>
        </w:div>
        <w:div w:id="2034261968">
          <w:marLeft w:val="0"/>
          <w:marRight w:val="0"/>
          <w:marTop w:val="0"/>
          <w:marBottom w:val="0"/>
          <w:divBdr>
            <w:top w:val="none" w:sz="0" w:space="0" w:color="auto"/>
            <w:left w:val="none" w:sz="0" w:space="0" w:color="auto"/>
            <w:bottom w:val="none" w:sz="0" w:space="0" w:color="auto"/>
            <w:right w:val="none" w:sz="0" w:space="0" w:color="auto"/>
          </w:divBdr>
        </w:div>
        <w:div w:id="1244680088">
          <w:marLeft w:val="0"/>
          <w:marRight w:val="0"/>
          <w:marTop w:val="0"/>
          <w:marBottom w:val="0"/>
          <w:divBdr>
            <w:top w:val="none" w:sz="0" w:space="0" w:color="auto"/>
            <w:left w:val="none" w:sz="0" w:space="0" w:color="auto"/>
            <w:bottom w:val="none" w:sz="0" w:space="0" w:color="auto"/>
            <w:right w:val="none" w:sz="0" w:space="0" w:color="auto"/>
          </w:divBdr>
        </w:div>
        <w:div w:id="454718105">
          <w:marLeft w:val="0"/>
          <w:marRight w:val="0"/>
          <w:marTop w:val="0"/>
          <w:marBottom w:val="0"/>
          <w:divBdr>
            <w:top w:val="none" w:sz="0" w:space="0" w:color="auto"/>
            <w:left w:val="none" w:sz="0" w:space="0" w:color="auto"/>
            <w:bottom w:val="none" w:sz="0" w:space="0" w:color="auto"/>
            <w:right w:val="none" w:sz="0" w:space="0" w:color="auto"/>
          </w:divBdr>
        </w:div>
        <w:div w:id="176390143">
          <w:marLeft w:val="0"/>
          <w:marRight w:val="0"/>
          <w:marTop w:val="0"/>
          <w:marBottom w:val="0"/>
          <w:divBdr>
            <w:top w:val="none" w:sz="0" w:space="0" w:color="auto"/>
            <w:left w:val="none" w:sz="0" w:space="0" w:color="auto"/>
            <w:bottom w:val="none" w:sz="0" w:space="0" w:color="auto"/>
            <w:right w:val="none" w:sz="0" w:space="0" w:color="auto"/>
          </w:divBdr>
        </w:div>
      </w:divsChild>
    </w:div>
    <w:div w:id="72361640">
      <w:bodyDiv w:val="1"/>
      <w:marLeft w:val="0"/>
      <w:marRight w:val="0"/>
      <w:marTop w:val="0"/>
      <w:marBottom w:val="0"/>
      <w:divBdr>
        <w:top w:val="none" w:sz="0" w:space="0" w:color="auto"/>
        <w:left w:val="none" w:sz="0" w:space="0" w:color="auto"/>
        <w:bottom w:val="none" w:sz="0" w:space="0" w:color="auto"/>
        <w:right w:val="none" w:sz="0" w:space="0" w:color="auto"/>
      </w:divBdr>
    </w:div>
    <w:div w:id="496308678">
      <w:bodyDiv w:val="1"/>
      <w:marLeft w:val="0"/>
      <w:marRight w:val="0"/>
      <w:marTop w:val="0"/>
      <w:marBottom w:val="0"/>
      <w:divBdr>
        <w:top w:val="none" w:sz="0" w:space="0" w:color="auto"/>
        <w:left w:val="none" w:sz="0" w:space="0" w:color="auto"/>
        <w:bottom w:val="none" w:sz="0" w:space="0" w:color="auto"/>
        <w:right w:val="none" w:sz="0" w:space="0" w:color="auto"/>
      </w:divBdr>
      <w:divsChild>
        <w:div w:id="289478114">
          <w:marLeft w:val="0"/>
          <w:marRight w:val="0"/>
          <w:marTop w:val="0"/>
          <w:marBottom w:val="0"/>
          <w:divBdr>
            <w:top w:val="none" w:sz="0" w:space="0" w:color="auto"/>
            <w:left w:val="none" w:sz="0" w:space="0" w:color="auto"/>
            <w:bottom w:val="none" w:sz="0" w:space="0" w:color="auto"/>
            <w:right w:val="none" w:sz="0" w:space="0" w:color="auto"/>
          </w:divBdr>
        </w:div>
        <w:div w:id="121119397">
          <w:marLeft w:val="0"/>
          <w:marRight w:val="0"/>
          <w:marTop w:val="0"/>
          <w:marBottom w:val="0"/>
          <w:divBdr>
            <w:top w:val="none" w:sz="0" w:space="0" w:color="auto"/>
            <w:left w:val="none" w:sz="0" w:space="0" w:color="auto"/>
            <w:bottom w:val="none" w:sz="0" w:space="0" w:color="auto"/>
            <w:right w:val="none" w:sz="0" w:space="0" w:color="auto"/>
          </w:divBdr>
        </w:div>
      </w:divsChild>
    </w:div>
    <w:div w:id="778259433">
      <w:bodyDiv w:val="1"/>
      <w:marLeft w:val="0"/>
      <w:marRight w:val="0"/>
      <w:marTop w:val="0"/>
      <w:marBottom w:val="0"/>
      <w:divBdr>
        <w:top w:val="none" w:sz="0" w:space="0" w:color="auto"/>
        <w:left w:val="none" w:sz="0" w:space="0" w:color="auto"/>
        <w:bottom w:val="none" w:sz="0" w:space="0" w:color="auto"/>
        <w:right w:val="none" w:sz="0" w:space="0" w:color="auto"/>
      </w:divBdr>
      <w:divsChild>
        <w:div w:id="149255000">
          <w:marLeft w:val="0"/>
          <w:marRight w:val="0"/>
          <w:marTop w:val="0"/>
          <w:marBottom w:val="0"/>
          <w:divBdr>
            <w:top w:val="none" w:sz="0" w:space="0" w:color="auto"/>
            <w:left w:val="none" w:sz="0" w:space="0" w:color="auto"/>
            <w:bottom w:val="none" w:sz="0" w:space="0" w:color="auto"/>
            <w:right w:val="none" w:sz="0" w:space="0" w:color="auto"/>
          </w:divBdr>
          <w:divsChild>
            <w:div w:id="956333522">
              <w:marLeft w:val="0"/>
              <w:marRight w:val="0"/>
              <w:marTop w:val="0"/>
              <w:marBottom w:val="0"/>
              <w:divBdr>
                <w:top w:val="none" w:sz="0" w:space="0" w:color="auto"/>
                <w:left w:val="none" w:sz="0" w:space="0" w:color="auto"/>
                <w:bottom w:val="none" w:sz="0" w:space="0" w:color="auto"/>
                <w:right w:val="none" w:sz="0" w:space="0" w:color="auto"/>
              </w:divBdr>
              <w:divsChild>
                <w:div w:id="94623786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9449">
      <w:bodyDiv w:val="1"/>
      <w:marLeft w:val="0"/>
      <w:marRight w:val="0"/>
      <w:marTop w:val="0"/>
      <w:marBottom w:val="0"/>
      <w:divBdr>
        <w:top w:val="none" w:sz="0" w:space="0" w:color="auto"/>
        <w:left w:val="none" w:sz="0" w:space="0" w:color="auto"/>
        <w:bottom w:val="none" w:sz="0" w:space="0" w:color="auto"/>
        <w:right w:val="none" w:sz="0" w:space="0" w:color="auto"/>
      </w:divBdr>
      <w:divsChild>
        <w:div w:id="1497498437">
          <w:marLeft w:val="0"/>
          <w:marRight w:val="0"/>
          <w:marTop w:val="0"/>
          <w:marBottom w:val="0"/>
          <w:divBdr>
            <w:top w:val="none" w:sz="0" w:space="0" w:color="auto"/>
            <w:left w:val="none" w:sz="0" w:space="0" w:color="auto"/>
            <w:bottom w:val="none" w:sz="0" w:space="0" w:color="auto"/>
            <w:right w:val="none" w:sz="0" w:space="0" w:color="auto"/>
          </w:divBdr>
        </w:div>
        <w:div w:id="1771074760">
          <w:marLeft w:val="0"/>
          <w:marRight w:val="0"/>
          <w:marTop w:val="0"/>
          <w:marBottom w:val="0"/>
          <w:divBdr>
            <w:top w:val="none" w:sz="0" w:space="0" w:color="auto"/>
            <w:left w:val="none" w:sz="0" w:space="0" w:color="auto"/>
            <w:bottom w:val="none" w:sz="0" w:space="0" w:color="auto"/>
            <w:right w:val="none" w:sz="0" w:space="0" w:color="auto"/>
          </w:divBdr>
        </w:div>
        <w:div w:id="1172373942">
          <w:marLeft w:val="0"/>
          <w:marRight w:val="0"/>
          <w:marTop w:val="0"/>
          <w:marBottom w:val="0"/>
          <w:divBdr>
            <w:top w:val="none" w:sz="0" w:space="0" w:color="auto"/>
            <w:left w:val="none" w:sz="0" w:space="0" w:color="auto"/>
            <w:bottom w:val="none" w:sz="0" w:space="0" w:color="auto"/>
            <w:right w:val="none" w:sz="0" w:space="0" w:color="auto"/>
          </w:divBdr>
        </w:div>
        <w:div w:id="628516127">
          <w:marLeft w:val="0"/>
          <w:marRight w:val="0"/>
          <w:marTop w:val="0"/>
          <w:marBottom w:val="0"/>
          <w:divBdr>
            <w:top w:val="none" w:sz="0" w:space="0" w:color="auto"/>
            <w:left w:val="none" w:sz="0" w:space="0" w:color="auto"/>
            <w:bottom w:val="none" w:sz="0" w:space="0" w:color="auto"/>
            <w:right w:val="none" w:sz="0" w:space="0" w:color="auto"/>
          </w:divBdr>
        </w:div>
        <w:div w:id="242304520">
          <w:marLeft w:val="0"/>
          <w:marRight w:val="0"/>
          <w:marTop w:val="0"/>
          <w:marBottom w:val="0"/>
          <w:divBdr>
            <w:top w:val="none" w:sz="0" w:space="0" w:color="auto"/>
            <w:left w:val="none" w:sz="0" w:space="0" w:color="auto"/>
            <w:bottom w:val="none" w:sz="0" w:space="0" w:color="auto"/>
            <w:right w:val="none" w:sz="0" w:space="0" w:color="auto"/>
          </w:divBdr>
        </w:div>
      </w:divsChild>
    </w:div>
    <w:div w:id="886720727">
      <w:bodyDiv w:val="1"/>
      <w:marLeft w:val="0"/>
      <w:marRight w:val="0"/>
      <w:marTop w:val="0"/>
      <w:marBottom w:val="0"/>
      <w:divBdr>
        <w:top w:val="none" w:sz="0" w:space="0" w:color="auto"/>
        <w:left w:val="none" w:sz="0" w:space="0" w:color="auto"/>
        <w:bottom w:val="none" w:sz="0" w:space="0" w:color="auto"/>
        <w:right w:val="none" w:sz="0" w:space="0" w:color="auto"/>
      </w:divBdr>
      <w:divsChild>
        <w:div w:id="767584745">
          <w:marLeft w:val="0"/>
          <w:marRight w:val="0"/>
          <w:marTop w:val="0"/>
          <w:marBottom w:val="0"/>
          <w:divBdr>
            <w:top w:val="none" w:sz="0" w:space="0" w:color="auto"/>
            <w:left w:val="none" w:sz="0" w:space="0" w:color="auto"/>
            <w:bottom w:val="none" w:sz="0" w:space="0" w:color="auto"/>
            <w:right w:val="none" w:sz="0" w:space="0" w:color="auto"/>
          </w:divBdr>
          <w:divsChild>
            <w:div w:id="329211929">
              <w:marLeft w:val="0"/>
              <w:marRight w:val="0"/>
              <w:marTop w:val="0"/>
              <w:marBottom w:val="0"/>
              <w:divBdr>
                <w:top w:val="none" w:sz="0" w:space="0" w:color="auto"/>
                <w:left w:val="none" w:sz="0" w:space="0" w:color="auto"/>
                <w:bottom w:val="none" w:sz="0" w:space="0" w:color="auto"/>
                <w:right w:val="none" w:sz="0" w:space="0" w:color="auto"/>
              </w:divBdr>
            </w:div>
            <w:div w:id="1215779746">
              <w:marLeft w:val="0"/>
              <w:marRight w:val="0"/>
              <w:marTop w:val="0"/>
              <w:marBottom w:val="0"/>
              <w:divBdr>
                <w:top w:val="none" w:sz="0" w:space="0" w:color="auto"/>
                <w:left w:val="none" w:sz="0" w:space="0" w:color="auto"/>
                <w:bottom w:val="none" w:sz="0" w:space="0" w:color="auto"/>
                <w:right w:val="none" w:sz="0" w:space="0" w:color="auto"/>
              </w:divBdr>
            </w:div>
            <w:div w:id="481239110">
              <w:marLeft w:val="0"/>
              <w:marRight w:val="0"/>
              <w:marTop w:val="0"/>
              <w:marBottom w:val="0"/>
              <w:divBdr>
                <w:top w:val="none" w:sz="0" w:space="0" w:color="auto"/>
                <w:left w:val="none" w:sz="0" w:space="0" w:color="auto"/>
                <w:bottom w:val="none" w:sz="0" w:space="0" w:color="auto"/>
                <w:right w:val="none" w:sz="0" w:space="0" w:color="auto"/>
              </w:divBdr>
            </w:div>
            <w:div w:id="785850977">
              <w:marLeft w:val="0"/>
              <w:marRight w:val="0"/>
              <w:marTop w:val="0"/>
              <w:marBottom w:val="0"/>
              <w:divBdr>
                <w:top w:val="none" w:sz="0" w:space="0" w:color="auto"/>
                <w:left w:val="none" w:sz="0" w:space="0" w:color="auto"/>
                <w:bottom w:val="none" w:sz="0" w:space="0" w:color="auto"/>
                <w:right w:val="none" w:sz="0" w:space="0" w:color="auto"/>
              </w:divBdr>
            </w:div>
            <w:div w:id="2108766924">
              <w:marLeft w:val="0"/>
              <w:marRight w:val="0"/>
              <w:marTop w:val="0"/>
              <w:marBottom w:val="0"/>
              <w:divBdr>
                <w:top w:val="none" w:sz="0" w:space="0" w:color="auto"/>
                <w:left w:val="none" w:sz="0" w:space="0" w:color="auto"/>
                <w:bottom w:val="none" w:sz="0" w:space="0" w:color="auto"/>
                <w:right w:val="none" w:sz="0" w:space="0" w:color="auto"/>
              </w:divBdr>
            </w:div>
            <w:div w:id="1066415590">
              <w:marLeft w:val="0"/>
              <w:marRight w:val="0"/>
              <w:marTop w:val="0"/>
              <w:marBottom w:val="0"/>
              <w:divBdr>
                <w:top w:val="none" w:sz="0" w:space="0" w:color="auto"/>
                <w:left w:val="none" w:sz="0" w:space="0" w:color="auto"/>
                <w:bottom w:val="none" w:sz="0" w:space="0" w:color="auto"/>
                <w:right w:val="none" w:sz="0" w:space="0" w:color="auto"/>
              </w:divBdr>
            </w:div>
            <w:div w:id="1554852744">
              <w:marLeft w:val="0"/>
              <w:marRight w:val="0"/>
              <w:marTop w:val="0"/>
              <w:marBottom w:val="0"/>
              <w:divBdr>
                <w:top w:val="none" w:sz="0" w:space="0" w:color="auto"/>
                <w:left w:val="none" w:sz="0" w:space="0" w:color="auto"/>
                <w:bottom w:val="none" w:sz="0" w:space="0" w:color="auto"/>
                <w:right w:val="none" w:sz="0" w:space="0" w:color="auto"/>
              </w:divBdr>
            </w:div>
            <w:div w:id="524179022">
              <w:marLeft w:val="0"/>
              <w:marRight w:val="0"/>
              <w:marTop w:val="0"/>
              <w:marBottom w:val="0"/>
              <w:divBdr>
                <w:top w:val="none" w:sz="0" w:space="0" w:color="auto"/>
                <w:left w:val="none" w:sz="0" w:space="0" w:color="auto"/>
                <w:bottom w:val="none" w:sz="0" w:space="0" w:color="auto"/>
                <w:right w:val="none" w:sz="0" w:space="0" w:color="auto"/>
              </w:divBdr>
            </w:div>
            <w:div w:id="521669442">
              <w:marLeft w:val="0"/>
              <w:marRight w:val="0"/>
              <w:marTop w:val="0"/>
              <w:marBottom w:val="0"/>
              <w:divBdr>
                <w:top w:val="none" w:sz="0" w:space="0" w:color="auto"/>
                <w:left w:val="none" w:sz="0" w:space="0" w:color="auto"/>
                <w:bottom w:val="none" w:sz="0" w:space="0" w:color="auto"/>
                <w:right w:val="none" w:sz="0" w:space="0" w:color="auto"/>
              </w:divBdr>
            </w:div>
            <w:div w:id="18473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4475">
      <w:bodyDiv w:val="1"/>
      <w:marLeft w:val="0"/>
      <w:marRight w:val="0"/>
      <w:marTop w:val="0"/>
      <w:marBottom w:val="0"/>
      <w:divBdr>
        <w:top w:val="none" w:sz="0" w:space="0" w:color="auto"/>
        <w:left w:val="none" w:sz="0" w:space="0" w:color="auto"/>
        <w:bottom w:val="none" w:sz="0" w:space="0" w:color="auto"/>
        <w:right w:val="none" w:sz="0" w:space="0" w:color="auto"/>
      </w:divBdr>
      <w:divsChild>
        <w:div w:id="852837552">
          <w:marLeft w:val="0"/>
          <w:marRight w:val="0"/>
          <w:marTop w:val="0"/>
          <w:marBottom w:val="0"/>
          <w:divBdr>
            <w:top w:val="none" w:sz="0" w:space="0" w:color="auto"/>
            <w:left w:val="none" w:sz="0" w:space="0" w:color="auto"/>
            <w:bottom w:val="none" w:sz="0" w:space="0" w:color="auto"/>
            <w:right w:val="none" w:sz="0" w:space="0" w:color="auto"/>
          </w:divBdr>
          <w:divsChild>
            <w:div w:id="1521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37821">
      <w:bodyDiv w:val="1"/>
      <w:marLeft w:val="0"/>
      <w:marRight w:val="0"/>
      <w:marTop w:val="0"/>
      <w:marBottom w:val="0"/>
      <w:divBdr>
        <w:top w:val="none" w:sz="0" w:space="0" w:color="auto"/>
        <w:left w:val="none" w:sz="0" w:space="0" w:color="auto"/>
        <w:bottom w:val="none" w:sz="0" w:space="0" w:color="auto"/>
        <w:right w:val="none" w:sz="0" w:space="0" w:color="auto"/>
      </w:divBdr>
      <w:divsChild>
        <w:div w:id="79836161">
          <w:marLeft w:val="0"/>
          <w:marRight w:val="0"/>
          <w:marTop w:val="0"/>
          <w:marBottom w:val="0"/>
          <w:divBdr>
            <w:top w:val="none" w:sz="0" w:space="0" w:color="auto"/>
            <w:left w:val="none" w:sz="0" w:space="0" w:color="auto"/>
            <w:bottom w:val="none" w:sz="0" w:space="0" w:color="auto"/>
            <w:right w:val="none" w:sz="0" w:space="0" w:color="auto"/>
          </w:divBdr>
        </w:div>
        <w:div w:id="694573915">
          <w:marLeft w:val="0"/>
          <w:marRight w:val="0"/>
          <w:marTop w:val="0"/>
          <w:marBottom w:val="0"/>
          <w:divBdr>
            <w:top w:val="none" w:sz="0" w:space="0" w:color="auto"/>
            <w:left w:val="none" w:sz="0" w:space="0" w:color="auto"/>
            <w:bottom w:val="none" w:sz="0" w:space="0" w:color="auto"/>
            <w:right w:val="none" w:sz="0" w:space="0" w:color="auto"/>
          </w:divBdr>
        </w:div>
      </w:divsChild>
    </w:div>
    <w:div w:id="1287930351">
      <w:bodyDiv w:val="1"/>
      <w:marLeft w:val="0"/>
      <w:marRight w:val="0"/>
      <w:marTop w:val="0"/>
      <w:marBottom w:val="0"/>
      <w:divBdr>
        <w:top w:val="none" w:sz="0" w:space="0" w:color="auto"/>
        <w:left w:val="none" w:sz="0" w:space="0" w:color="auto"/>
        <w:bottom w:val="none" w:sz="0" w:space="0" w:color="auto"/>
        <w:right w:val="none" w:sz="0" w:space="0" w:color="auto"/>
      </w:divBdr>
      <w:divsChild>
        <w:div w:id="1106462003">
          <w:marLeft w:val="0"/>
          <w:marRight w:val="0"/>
          <w:marTop w:val="0"/>
          <w:marBottom w:val="0"/>
          <w:divBdr>
            <w:top w:val="none" w:sz="0" w:space="0" w:color="auto"/>
            <w:left w:val="none" w:sz="0" w:space="0" w:color="auto"/>
            <w:bottom w:val="none" w:sz="0" w:space="0" w:color="auto"/>
            <w:right w:val="none" w:sz="0" w:space="0" w:color="auto"/>
          </w:divBdr>
        </w:div>
        <w:div w:id="1281643428">
          <w:marLeft w:val="0"/>
          <w:marRight w:val="0"/>
          <w:marTop w:val="0"/>
          <w:marBottom w:val="0"/>
          <w:divBdr>
            <w:top w:val="none" w:sz="0" w:space="0" w:color="auto"/>
            <w:left w:val="none" w:sz="0" w:space="0" w:color="auto"/>
            <w:bottom w:val="none" w:sz="0" w:space="0" w:color="auto"/>
            <w:right w:val="none" w:sz="0" w:space="0" w:color="auto"/>
          </w:divBdr>
        </w:div>
        <w:div w:id="1470901623">
          <w:marLeft w:val="0"/>
          <w:marRight w:val="0"/>
          <w:marTop w:val="0"/>
          <w:marBottom w:val="0"/>
          <w:divBdr>
            <w:top w:val="none" w:sz="0" w:space="0" w:color="auto"/>
            <w:left w:val="none" w:sz="0" w:space="0" w:color="auto"/>
            <w:bottom w:val="none" w:sz="0" w:space="0" w:color="auto"/>
            <w:right w:val="none" w:sz="0" w:space="0" w:color="auto"/>
          </w:divBdr>
        </w:div>
      </w:divsChild>
    </w:div>
    <w:div w:id="1334182824">
      <w:bodyDiv w:val="1"/>
      <w:marLeft w:val="0"/>
      <w:marRight w:val="0"/>
      <w:marTop w:val="0"/>
      <w:marBottom w:val="0"/>
      <w:divBdr>
        <w:top w:val="none" w:sz="0" w:space="0" w:color="auto"/>
        <w:left w:val="none" w:sz="0" w:space="0" w:color="auto"/>
        <w:bottom w:val="none" w:sz="0" w:space="0" w:color="auto"/>
        <w:right w:val="none" w:sz="0" w:space="0" w:color="auto"/>
      </w:divBdr>
      <w:divsChild>
        <w:div w:id="1865706158">
          <w:marLeft w:val="0"/>
          <w:marRight w:val="0"/>
          <w:marTop w:val="0"/>
          <w:marBottom w:val="0"/>
          <w:divBdr>
            <w:top w:val="none" w:sz="0" w:space="0" w:color="auto"/>
            <w:left w:val="none" w:sz="0" w:space="0" w:color="auto"/>
            <w:bottom w:val="none" w:sz="0" w:space="0" w:color="auto"/>
            <w:right w:val="none" w:sz="0" w:space="0" w:color="auto"/>
          </w:divBdr>
          <w:divsChild>
            <w:div w:id="425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38204">
      <w:bodyDiv w:val="1"/>
      <w:marLeft w:val="0"/>
      <w:marRight w:val="0"/>
      <w:marTop w:val="0"/>
      <w:marBottom w:val="0"/>
      <w:divBdr>
        <w:top w:val="none" w:sz="0" w:space="0" w:color="auto"/>
        <w:left w:val="none" w:sz="0" w:space="0" w:color="auto"/>
        <w:bottom w:val="none" w:sz="0" w:space="0" w:color="auto"/>
        <w:right w:val="none" w:sz="0" w:space="0" w:color="auto"/>
      </w:divBdr>
      <w:divsChild>
        <w:div w:id="357121764">
          <w:marLeft w:val="0"/>
          <w:marRight w:val="0"/>
          <w:marTop w:val="0"/>
          <w:marBottom w:val="0"/>
          <w:divBdr>
            <w:top w:val="none" w:sz="0" w:space="0" w:color="auto"/>
            <w:left w:val="none" w:sz="0" w:space="0" w:color="auto"/>
            <w:bottom w:val="none" w:sz="0" w:space="0" w:color="auto"/>
            <w:right w:val="none" w:sz="0" w:space="0" w:color="auto"/>
          </w:divBdr>
        </w:div>
        <w:div w:id="1165785590">
          <w:marLeft w:val="0"/>
          <w:marRight w:val="0"/>
          <w:marTop w:val="0"/>
          <w:marBottom w:val="0"/>
          <w:divBdr>
            <w:top w:val="none" w:sz="0" w:space="0" w:color="auto"/>
            <w:left w:val="none" w:sz="0" w:space="0" w:color="auto"/>
            <w:bottom w:val="none" w:sz="0" w:space="0" w:color="auto"/>
            <w:right w:val="none" w:sz="0" w:space="0" w:color="auto"/>
          </w:divBdr>
        </w:div>
        <w:div w:id="96142195">
          <w:marLeft w:val="0"/>
          <w:marRight w:val="0"/>
          <w:marTop w:val="0"/>
          <w:marBottom w:val="0"/>
          <w:divBdr>
            <w:top w:val="none" w:sz="0" w:space="0" w:color="auto"/>
            <w:left w:val="none" w:sz="0" w:space="0" w:color="auto"/>
            <w:bottom w:val="none" w:sz="0" w:space="0" w:color="auto"/>
            <w:right w:val="none" w:sz="0" w:space="0" w:color="auto"/>
          </w:divBdr>
        </w:div>
        <w:div w:id="1268079950">
          <w:marLeft w:val="0"/>
          <w:marRight w:val="0"/>
          <w:marTop w:val="0"/>
          <w:marBottom w:val="0"/>
          <w:divBdr>
            <w:top w:val="none" w:sz="0" w:space="0" w:color="auto"/>
            <w:left w:val="none" w:sz="0" w:space="0" w:color="auto"/>
            <w:bottom w:val="none" w:sz="0" w:space="0" w:color="auto"/>
            <w:right w:val="none" w:sz="0" w:space="0" w:color="auto"/>
          </w:divBdr>
        </w:div>
        <w:div w:id="289635437">
          <w:marLeft w:val="0"/>
          <w:marRight w:val="0"/>
          <w:marTop w:val="0"/>
          <w:marBottom w:val="0"/>
          <w:divBdr>
            <w:top w:val="none" w:sz="0" w:space="0" w:color="auto"/>
            <w:left w:val="none" w:sz="0" w:space="0" w:color="auto"/>
            <w:bottom w:val="none" w:sz="0" w:space="0" w:color="auto"/>
            <w:right w:val="none" w:sz="0" w:space="0" w:color="auto"/>
          </w:divBdr>
        </w:div>
        <w:div w:id="518356437">
          <w:marLeft w:val="0"/>
          <w:marRight w:val="0"/>
          <w:marTop w:val="0"/>
          <w:marBottom w:val="0"/>
          <w:divBdr>
            <w:top w:val="none" w:sz="0" w:space="0" w:color="auto"/>
            <w:left w:val="none" w:sz="0" w:space="0" w:color="auto"/>
            <w:bottom w:val="none" w:sz="0" w:space="0" w:color="auto"/>
            <w:right w:val="none" w:sz="0" w:space="0" w:color="auto"/>
          </w:divBdr>
        </w:div>
        <w:div w:id="350301118">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1391002273">
          <w:marLeft w:val="0"/>
          <w:marRight w:val="0"/>
          <w:marTop w:val="0"/>
          <w:marBottom w:val="0"/>
          <w:divBdr>
            <w:top w:val="none" w:sz="0" w:space="0" w:color="auto"/>
            <w:left w:val="none" w:sz="0" w:space="0" w:color="auto"/>
            <w:bottom w:val="none" w:sz="0" w:space="0" w:color="auto"/>
            <w:right w:val="none" w:sz="0" w:space="0" w:color="auto"/>
          </w:divBdr>
        </w:div>
      </w:divsChild>
    </w:div>
    <w:div w:id="1493835277">
      <w:bodyDiv w:val="1"/>
      <w:marLeft w:val="0"/>
      <w:marRight w:val="0"/>
      <w:marTop w:val="0"/>
      <w:marBottom w:val="0"/>
      <w:divBdr>
        <w:top w:val="none" w:sz="0" w:space="0" w:color="auto"/>
        <w:left w:val="none" w:sz="0" w:space="0" w:color="auto"/>
        <w:bottom w:val="none" w:sz="0" w:space="0" w:color="auto"/>
        <w:right w:val="none" w:sz="0" w:space="0" w:color="auto"/>
      </w:divBdr>
      <w:divsChild>
        <w:div w:id="402994801">
          <w:marLeft w:val="0"/>
          <w:marRight w:val="0"/>
          <w:marTop w:val="0"/>
          <w:marBottom w:val="0"/>
          <w:divBdr>
            <w:top w:val="none" w:sz="0" w:space="0" w:color="auto"/>
            <w:left w:val="none" w:sz="0" w:space="0" w:color="auto"/>
            <w:bottom w:val="none" w:sz="0" w:space="0" w:color="auto"/>
            <w:right w:val="none" w:sz="0" w:space="0" w:color="auto"/>
          </w:divBdr>
        </w:div>
        <w:div w:id="455830574">
          <w:marLeft w:val="0"/>
          <w:marRight w:val="0"/>
          <w:marTop w:val="0"/>
          <w:marBottom w:val="0"/>
          <w:divBdr>
            <w:top w:val="none" w:sz="0" w:space="0" w:color="auto"/>
            <w:left w:val="none" w:sz="0" w:space="0" w:color="auto"/>
            <w:bottom w:val="none" w:sz="0" w:space="0" w:color="auto"/>
            <w:right w:val="none" w:sz="0" w:space="0" w:color="auto"/>
          </w:divBdr>
        </w:div>
        <w:div w:id="1414858038">
          <w:marLeft w:val="0"/>
          <w:marRight w:val="0"/>
          <w:marTop w:val="0"/>
          <w:marBottom w:val="0"/>
          <w:divBdr>
            <w:top w:val="none" w:sz="0" w:space="0" w:color="auto"/>
            <w:left w:val="none" w:sz="0" w:space="0" w:color="auto"/>
            <w:bottom w:val="none" w:sz="0" w:space="0" w:color="auto"/>
            <w:right w:val="none" w:sz="0" w:space="0" w:color="auto"/>
          </w:divBdr>
        </w:div>
        <w:div w:id="58524327">
          <w:marLeft w:val="0"/>
          <w:marRight w:val="0"/>
          <w:marTop w:val="0"/>
          <w:marBottom w:val="0"/>
          <w:divBdr>
            <w:top w:val="none" w:sz="0" w:space="0" w:color="auto"/>
            <w:left w:val="none" w:sz="0" w:space="0" w:color="auto"/>
            <w:bottom w:val="none" w:sz="0" w:space="0" w:color="auto"/>
            <w:right w:val="none" w:sz="0" w:space="0" w:color="auto"/>
          </w:divBdr>
        </w:div>
      </w:divsChild>
    </w:div>
    <w:div w:id="1630935408">
      <w:bodyDiv w:val="1"/>
      <w:marLeft w:val="0"/>
      <w:marRight w:val="0"/>
      <w:marTop w:val="0"/>
      <w:marBottom w:val="0"/>
      <w:divBdr>
        <w:top w:val="none" w:sz="0" w:space="0" w:color="auto"/>
        <w:left w:val="none" w:sz="0" w:space="0" w:color="auto"/>
        <w:bottom w:val="none" w:sz="0" w:space="0" w:color="auto"/>
        <w:right w:val="none" w:sz="0" w:space="0" w:color="auto"/>
      </w:divBdr>
      <w:divsChild>
        <w:div w:id="465708716">
          <w:marLeft w:val="0"/>
          <w:marRight w:val="0"/>
          <w:marTop w:val="0"/>
          <w:marBottom w:val="0"/>
          <w:divBdr>
            <w:top w:val="none" w:sz="0" w:space="0" w:color="auto"/>
            <w:left w:val="none" w:sz="0" w:space="0" w:color="auto"/>
            <w:bottom w:val="none" w:sz="0" w:space="0" w:color="auto"/>
            <w:right w:val="none" w:sz="0" w:space="0" w:color="auto"/>
          </w:divBdr>
        </w:div>
        <w:div w:id="497498679">
          <w:marLeft w:val="0"/>
          <w:marRight w:val="0"/>
          <w:marTop w:val="0"/>
          <w:marBottom w:val="0"/>
          <w:divBdr>
            <w:top w:val="none" w:sz="0" w:space="0" w:color="auto"/>
            <w:left w:val="none" w:sz="0" w:space="0" w:color="auto"/>
            <w:bottom w:val="none" w:sz="0" w:space="0" w:color="auto"/>
            <w:right w:val="none" w:sz="0" w:space="0" w:color="auto"/>
          </w:divBdr>
        </w:div>
        <w:div w:id="1729495716">
          <w:marLeft w:val="0"/>
          <w:marRight w:val="0"/>
          <w:marTop w:val="0"/>
          <w:marBottom w:val="0"/>
          <w:divBdr>
            <w:top w:val="none" w:sz="0" w:space="0" w:color="auto"/>
            <w:left w:val="none" w:sz="0" w:space="0" w:color="auto"/>
            <w:bottom w:val="none" w:sz="0" w:space="0" w:color="auto"/>
            <w:right w:val="none" w:sz="0" w:space="0" w:color="auto"/>
          </w:divBdr>
        </w:div>
      </w:divsChild>
    </w:div>
    <w:div w:id="1667590766">
      <w:bodyDiv w:val="1"/>
      <w:marLeft w:val="0"/>
      <w:marRight w:val="0"/>
      <w:marTop w:val="0"/>
      <w:marBottom w:val="0"/>
      <w:divBdr>
        <w:top w:val="none" w:sz="0" w:space="0" w:color="auto"/>
        <w:left w:val="none" w:sz="0" w:space="0" w:color="auto"/>
        <w:bottom w:val="none" w:sz="0" w:space="0" w:color="auto"/>
        <w:right w:val="none" w:sz="0" w:space="0" w:color="auto"/>
      </w:divBdr>
      <w:divsChild>
        <w:div w:id="1011227326">
          <w:marLeft w:val="0"/>
          <w:marRight w:val="0"/>
          <w:marTop w:val="0"/>
          <w:marBottom w:val="0"/>
          <w:divBdr>
            <w:top w:val="none" w:sz="0" w:space="0" w:color="auto"/>
            <w:left w:val="none" w:sz="0" w:space="0" w:color="auto"/>
            <w:bottom w:val="none" w:sz="0" w:space="0" w:color="auto"/>
            <w:right w:val="none" w:sz="0" w:space="0" w:color="auto"/>
          </w:divBdr>
        </w:div>
        <w:div w:id="173375116">
          <w:marLeft w:val="0"/>
          <w:marRight w:val="0"/>
          <w:marTop w:val="0"/>
          <w:marBottom w:val="0"/>
          <w:divBdr>
            <w:top w:val="none" w:sz="0" w:space="0" w:color="auto"/>
            <w:left w:val="none" w:sz="0" w:space="0" w:color="auto"/>
            <w:bottom w:val="none" w:sz="0" w:space="0" w:color="auto"/>
            <w:right w:val="none" w:sz="0" w:space="0" w:color="auto"/>
          </w:divBdr>
        </w:div>
      </w:divsChild>
    </w:div>
    <w:div w:id="1748382020">
      <w:bodyDiv w:val="1"/>
      <w:marLeft w:val="0"/>
      <w:marRight w:val="0"/>
      <w:marTop w:val="0"/>
      <w:marBottom w:val="0"/>
      <w:divBdr>
        <w:top w:val="none" w:sz="0" w:space="0" w:color="auto"/>
        <w:left w:val="none" w:sz="0" w:space="0" w:color="auto"/>
        <w:bottom w:val="none" w:sz="0" w:space="0" w:color="auto"/>
        <w:right w:val="none" w:sz="0" w:space="0" w:color="auto"/>
      </w:divBdr>
      <w:divsChild>
        <w:div w:id="787162226">
          <w:marLeft w:val="0"/>
          <w:marRight w:val="0"/>
          <w:marTop w:val="0"/>
          <w:marBottom w:val="0"/>
          <w:divBdr>
            <w:top w:val="none" w:sz="0" w:space="0" w:color="auto"/>
            <w:left w:val="none" w:sz="0" w:space="0" w:color="auto"/>
            <w:bottom w:val="none" w:sz="0" w:space="0" w:color="auto"/>
            <w:right w:val="none" w:sz="0" w:space="0" w:color="auto"/>
          </w:divBdr>
        </w:div>
        <w:div w:id="940604066">
          <w:marLeft w:val="0"/>
          <w:marRight w:val="0"/>
          <w:marTop w:val="0"/>
          <w:marBottom w:val="0"/>
          <w:divBdr>
            <w:top w:val="none" w:sz="0" w:space="0" w:color="auto"/>
            <w:left w:val="none" w:sz="0" w:space="0" w:color="auto"/>
            <w:bottom w:val="none" w:sz="0" w:space="0" w:color="auto"/>
            <w:right w:val="none" w:sz="0" w:space="0" w:color="auto"/>
          </w:divBdr>
        </w:div>
        <w:div w:id="1355763762">
          <w:marLeft w:val="0"/>
          <w:marRight w:val="0"/>
          <w:marTop w:val="0"/>
          <w:marBottom w:val="0"/>
          <w:divBdr>
            <w:top w:val="none" w:sz="0" w:space="0" w:color="auto"/>
            <w:left w:val="none" w:sz="0" w:space="0" w:color="auto"/>
            <w:bottom w:val="none" w:sz="0" w:space="0" w:color="auto"/>
            <w:right w:val="none" w:sz="0" w:space="0" w:color="auto"/>
          </w:divBdr>
        </w:div>
        <w:div w:id="810707965">
          <w:marLeft w:val="0"/>
          <w:marRight w:val="0"/>
          <w:marTop w:val="0"/>
          <w:marBottom w:val="0"/>
          <w:divBdr>
            <w:top w:val="none" w:sz="0" w:space="0" w:color="auto"/>
            <w:left w:val="none" w:sz="0" w:space="0" w:color="auto"/>
            <w:bottom w:val="none" w:sz="0" w:space="0" w:color="auto"/>
            <w:right w:val="none" w:sz="0" w:space="0" w:color="auto"/>
          </w:divBdr>
        </w:div>
      </w:divsChild>
    </w:div>
    <w:div w:id="1950964719">
      <w:bodyDiv w:val="1"/>
      <w:marLeft w:val="0"/>
      <w:marRight w:val="0"/>
      <w:marTop w:val="0"/>
      <w:marBottom w:val="0"/>
      <w:divBdr>
        <w:top w:val="none" w:sz="0" w:space="0" w:color="auto"/>
        <w:left w:val="none" w:sz="0" w:space="0" w:color="auto"/>
        <w:bottom w:val="none" w:sz="0" w:space="0" w:color="auto"/>
        <w:right w:val="none" w:sz="0" w:space="0" w:color="auto"/>
      </w:divBdr>
      <w:divsChild>
        <w:div w:id="1750224080">
          <w:marLeft w:val="0"/>
          <w:marRight w:val="0"/>
          <w:marTop w:val="0"/>
          <w:marBottom w:val="0"/>
          <w:divBdr>
            <w:top w:val="none" w:sz="0" w:space="0" w:color="auto"/>
            <w:left w:val="none" w:sz="0" w:space="0" w:color="auto"/>
            <w:bottom w:val="none" w:sz="0" w:space="0" w:color="auto"/>
            <w:right w:val="none" w:sz="0" w:space="0" w:color="auto"/>
          </w:divBdr>
        </w:div>
        <w:div w:id="1566407977">
          <w:marLeft w:val="0"/>
          <w:marRight w:val="0"/>
          <w:marTop w:val="0"/>
          <w:marBottom w:val="0"/>
          <w:divBdr>
            <w:top w:val="none" w:sz="0" w:space="0" w:color="auto"/>
            <w:left w:val="none" w:sz="0" w:space="0" w:color="auto"/>
            <w:bottom w:val="none" w:sz="0" w:space="0" w:color="auto"/>
            <w:right w:val="none" w:sz="0" w:space="0" w:color="auto"/>
          </w:divBdr>
        </w:div>
        <w:div w:id="1083533446">
          <w:marLeft w:val="0"/>
          <w:marRight w:val="0"/>
          <w:marTop w:val="0"/>
          <w:marBottom w:val="0"/>
          <w:divBdr>
            <w:top w:val="none" w:sz="0" w:space="0" w:color="auto"/>
            <w:left w:val="none" w:sz="0" w:space="0" w:color="auto"/>
            <w:bottom w:val="none" w:sz="0" w:space="0" w:color="auto"/>
            <w:right w:val="none" w:sz="0" w:space="0" w:color="auto"/>
          </w:divBdr>
        </w:div>
      </w:divsChild>
    </w:div>
    <w:div w:id="1980457827">
      <w:bodyDiv w:val="1"/>
      <w:marLeft w:val="0"/>
      <w:marRight w:val="0"/>
      <w:marTop w:val="0"/>
      <w:marBottom w:val="0"/>
      <w:divBdr>
        <w:top w:val="none" w:sz="0" w:space="0" w:color="auto"/>
        <w:left w:val="none" w:sz="0" w:space="0" w:color="auto"/>
        <w:bottom w:val="none" w:sz="0" w:space="0" w:color="auto"/>
        <w:right w:val="none" w:sz="0" w:space="0" w:color="auto"/>
      </w:divBdr>
      <w:divsChild>
        <w:div w:id="118231579">
          <w:marLeft w:val="0"/>
          <w:marRight w:val="0"/>
          <w:marTop w:val="0"/>
          <w:marBottom w:val="0"/>
          <w:divBdr>
            <w:top w:val="none" w:sz="0" w:space="0" w:color="auto"/>
            <w:left w:val="none" w:sz="0" w:space="0" w:color="auto"/>
            <w:bottom w:val="none" w:sz="0" w:space="0" w:color="auto"/>
            <w:right w:val="none" w:sz="0" w:space="0" w:color="auto"/>
          </w:divBdr>
        </w:div>
        <w:div w:id="139077352">
          <w:marLeft w:val="0"/>
          <w:marRight w:val="0"/>
          <w:marTop w:val="0"/>
          <w:marBottom w:val="0"/>
          <w:divBdr>
            <w:top w:val="none" w:sz="0" w:space="0" w:color="auto"/>
            <w:left w:val="none" w:sz="0" w:space="0" w:color="auto"/>
            <w:bottom w:val="none" w:sz="0" w:space="0" w:color="auto"/>
            <w:right w:val="none" w:sz="0" w:space="0" w:color="auto"/>
          </w:divBdr>
        </w:div>
        <w:div w:id="295110490">
          <w:marLeft w:val="0"/>
          <w:marRight w:val="0"/>
          <w:marTop w:val="0"/>
          <w:marBottom w:val="0"/>
          <w:divBdr>
            <w:top w:val="none" w:sz="0" w:space="0" w:color="auto"/>
            <w:left w:val="none" w:sz="0" w:space="0" w:color="auto"/>
            <w:bottom w:val="none" w:sz="0" w:space="0" w:color="auto"/>
            <w:right w:val="none" w:sz="0" w:space="0" w:color="auto"/>
          </w:divBdr>
        </w:div>
        <w:div w:id="399718263">
          <w:marLeft w:val="0"/>
          <w:marRight w:val="0"/>
          <w:marTop w:val="0"/>
          <w:marBottom w:val="0"/>
          <w:divBdr>
            <w:top w:val="none" w:sz="0" w:space="0" w:color="auto"/>
            <w:left w:val="none" w:sz="0" w:space="0" w:color="auto"/>
            <w:bottom w:val="none" w:sz="0" w:space="0" w:color="auto"/>
            <w:right w:val="none" w:sz="0" w:space="0" w:color="auto"/>
          </w:divBdr>
        </w:div>
        <w:div w:id="483359513">
          <w:marLeft w:val="0"/>
          <w:marRight w:val="0"/>
          <w:marTop w:val="0"/>
          <w:marBottom w:val="0"/>
          <w:divBdr>
            <w:top w:val="none" w:sz="0" w:space="0" w:color="auto"/>
            <w:left w:val="none" w:sz="0" w:space="0" w:color="auto"/>
            <w:bottom w:val="none" w:sz="0" w:space="0" w:color="auto"/>
            <w:right w:val="none" w:sz="0" w:space="0" w:color="auto"/>
          </w:divBdr>
        </w:div>
        <w:div w:id="557591021">
          <w:marLeft w:val="0"/>
          <w:marRight w:val="0"/>
          <w:marTop w:val="0"/>
          <w:marBottom w:val="0"/>
          <w:divBdr>
            <w:top w:val="none" w:sz="0" w:space="0" w:color="auto"/>
            <w:left w:val="none" w:sz="0" w:space="0" w:color="auto"/>
            <w:bottom w:val="none" w:sz="0" w:space="0" w:color="auto"/>
            <w:right w:val="none" w:sz="0" w:space="0" w:color="auto"/>
          </w:divBdr>
        </w:div>
        <w:div w:id="582646272">
          <w:marLeft w:val="0"/>
          <w:marRight w:val="0"/>
          <w:marTop w:val="0"/>
          <w:marBottom w:val="0"/>
          <w:divBdr>
            <w:top w:val="none" w:sz="0" w:space="0" w:color="auto"/>
            <w:left w:val="none" w:sz="0" w:space="0" w:color="auto"/>
            <w:bottom w:val="none" w:sz="0" w:space="0" w:color="auto"/>
            <w:right w:val="none" w:sz="0" w:space="0" w:color="auto"/>
          </w:divBdr>
        </w:div>
        <w:div w:id="946809789">
          <w:marLeft w:val="0"/>
          <w:marRight w:val="0"/>
          <w:marTop w:val="0"/>
          <w:marBottom w:val="0"/>
          <w:divBdr>
            <w:top w:val="none" w:sz="0" w:space="0" w:color="auto"/>
            <w:left w:val="none" w:sz="0" w:space="0" w:color="auto"/>
            <w:bottom w:val="none" w:sz="0" w:space="0" w:color="auto"/>
            <w:right w:val="none" w:sz="0" w:space="0" w:color="auto"/>
          </w:divBdr>
        </w:div>
        <w:div w:id="1026911250">
          <w:marLeft w:val="0"/>
          <w:marRight w:val="0"/>
          <w:marTop w:val="0"/>
          <w:marBottom w:val="0"/>
          <w:divBdr>
            <w:top w:val="none" w:sz="0" w:space="0" w:color="auto"/>
            <w:left w:val="none" w:sz="0" w:space="0" w:color="auto"/>
            <w:bottom w:val="none" w:sz="0" w:space="0" w:color="auto"/>
            <w:right w:val="none" w:sz="0" w:space="0" w:color="auto"/>
          </w:divBdr>
        </w:div>
        <w:div w:id="1592590357">
          <w:marLeft w:val="0"/>
          <w:marRight w:val="0"/>
          <w:marTop w:val="0"/>
          <w:marBottom w:val="0"/>
          <w:divBdr>
            <w:top w:val="none" w:sz="0" w:space="0" w:color="auto"/>
            <w:left w:val="none" w:sz="0" w:space="0" w:color="auto"/>
            <w:bottom w:val="none" w:sz="0" w:space="0" w:color="auto"/>
            <w:right w:val="none" w:sz="0" w:space="0" w:color="auto"/>
          </w:divBdr>
        </w:div>
        <w:div w:id="1613055801">
          <w:marLeft w:val="0"/>
          <w:marRight w:val="0"/>
          <w:marTop w:val="0"/>
          <w:marBottom w:val="0"/>
          <w:divBdr>
            <w:top w:val="none" w:sz="0" w:space="0" w:color="auto"/>
            <w:left w:val="none" w:sz="0" w:space="0" w:color="auto"/>
            <w:bottom w:val="none" w:sz="0" w:space="0" w:color="auto"/>
            <w:right w:val="none" w:sz="0" w:space="0" w:color="auto"/>
          </w:divBdr>
        </w:div>
        <w:div w:id="1924029606">
          <w:marLeft w:val="0"/>
          <w:marRight w:val="0"/>
          <w:marTop w:val="0"/>
          <w:marBottom w:val="0"/>
          <w:divBdr>
            <w:top w:val="none" w:sz="0" w:space="0" w:color="auto"/>
            <w:left w:val="none" w:sz="0" w:space="0" w:color="auto"/>
            <w:bottom w:val="none" w:sz="0" w:space="0" w:color="auto"/>
            <w:right w:val="none" w:sz="0" w:space="0" w:color="auto"/>
          </w:divBdr>
        </w:div>
        <w:div w:id="2008706697">
          <w:marLeft w:val="0"/>
          <w:marRight w:val="0"/>
          <w:marTop w:val="0"/>
          <w:marBottom w:val="0"/>
          <w:divBdr>
            <w:top w:val="none" w:sz="0" w:space="0" w:color="auto"/>
            <w:left w:val="none" w:sz="0" w:space="0" w:color="auto"/>
            <w:bottom w:val="none" w:sz="0" w:space="0" w:color="auto"/>
            <w:right w:val="none" w:sz="0" w:space="0" w:color="auto"/>
          </w:divBdr>
        </w:div>
      </w:divsChild>
    </w:div>
    <w:div w:id="2081098514">
      <w:bodyDiv w:val="1"/>
      <w:marLeft w:val="0"/>
      <w:marRight w:val="0"/>
      <w:marTop w:val="0"/>
      <w:marBottom w:val="0"/>
      <w:divBdr>
        <w:top w:val="none" w:sz="0" w:space="0" w:color="auto"/>
        <w:left w:val="none" w:sz="0" w:space="0" w:color="auto"/>
        <w:bottom w:val="none" w:sz="0" w:space="0" w:color="auto"/>
        <w:right w:val="none" w:sz="0" w:space="0" w:color="auto"/>
      </w:divBdr>
    </w:div>
    <w:div w:id="2103799282">
      <w:bodyDiv w:val="1"/>
      <w:marLeft w:val="0"/>
      <w:marRight w:val="0"/>
      <w:marTop w:val="0"/>
      <w:marBottom w:val="0"/>
      <w:divBdr>
        <w:top w:val="none" w:sz="0" w:space="0" w:color="auto"/>
        <w:left w:val="none" w:sz="0" w:space="0" w:color="auto"/>
        <w:bottom w:val="none" w:sz="0" w:space="0" w:color="auto"/>
        <w:right w:val="none" w:sz="0" w:space="0" w:color="auto"/>
      </w:divBdr>
      <w:divsChild>
        <w:div w:id="738331966">
          <w:marLeft w:val="0"/>
          <w:marRight w:val="0"/>
          <w:marTop w:val="0"/>
          <w:marBottom w:val="0"/>
          <w:divBdr>
            <w:top w:val="none" w:sz="0" w:space="0" w:color="auto"/>
            <w:left w:val="none" w:sz="0" w:space="0" w:color="auto"/>
            <w:bottom w:val="none" w:sz="0" w:space="0" w:color="auto"/>
            <w:right w:val="none" w:sz="0" w:space="0" w:color="auto"/>
          </w:divBdr>
        </w:div>
        <w:div w:id="223951758">
          <w:marLeft w:val="0"/>
          <w:marRight w:val="0"/>
          <w:marTop w:val="0"/>
          <w:marBottom w:val="0"/>
          <w:divBdr>
            <w:top w:val="none" w:sz="0" w:space="0" w:color="auto"/>
            <w:left w:val="none" w:sz="0" w:space="0" w:color="auto"/>
            <w:bottom w:val="none" w:sz="0" w:space="0" w:color="auto"/>
            <w:right w:val="none" w:sz="0" w:space="0" w:color="auto"/>
          </w:divBdr>
        </w:div>
        <w:div w:id="1115175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C650-C3ED-40CD-B46D-636CDB17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7487</Words>
  <Characters>41179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Universitat de Lleida</cp:lastModifiedBy>
  <cp:revision>5</cp:revision>
  <dcterms:created xsi:type="dcterms:W3CDTF">2017-09-04T09:21:00Z</dcterms:created>
  <dcterms:modified xsi:type="dcterms:W3CDTF">2017-09-04T16:11:00Z</dcterms:modified>
</cp:coreProperties>
</file>